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467" w:rsidRPr="00CF63AA" w:rsidRDefault="00C76464">
      <w:pPr>
        <w:rPr>
          <w:sz w:val="24"/>
          <w:szCs w:val="24"/>
        </w:rPr>
      </w:pPr>
      <w:r>
        <w:rPr>
          <w:b/>
          <w:sz w:val="24"/>
          <w:szCs w:val="24"/>
        </w:rPr>
        <w:t>REVISED AMAZES</w:t>
      </w:r>
      <w:r w:rsidR="00412CD7" w:rsidRPr="0003328B">
        <w:rPr>
          <w:b/>
          <w:sz w:val="24"/>
          <w:szCs w:val="24"/>
        </w:rPr>
        <w:t xml:space="preserve"> ANALYSIS PLAN</w:t>
      </w:r>
    </w:p>
    <w:p w:rsidR="00412CD7" w:rsidRPr="00CF63AA" w:rsidRDefault="00412CD7" w:rsidP="00412CD7">
      <w:pPr>
        <w:pStyle w:val="Heading2"/>
        <w:numPr>
          <w:ilvl w:val="0"/>
          <w:numId w:val="0"/>
        </w:numPr>
        <w:rPr>
          <w:rFonts w:asciiTheme="minorHAnsi" w:hAnsiTheme="minorHAnsi"/>
          <w:sz w:val="24"/>
          <w:szCs w:val="24"/>
        </w:rPr>
      </w:pPr>
      <w:bookmarkStart w:id="0" w:name="_Toc222913878"/>
      <w:bookmarkStart w:id="1" w:name="_Toc316565846"/>
      <w:r w:rsidRPr="00CF63AA">
        <w:rPr>
          <w:rFonts w:asciiTheme="minorHAnsi" w:hAnsiTheme="minorHAnsi"/>
          <w:sz w:val="24"/>
          <w:szCs w:val="24"/>
        </w:rPr>
        <w:t>Study objectives</w:t>
      </w:r>
      <w:bookmarkEnd w:id="0"/>
      <w:bookmarkEnd w:id="1"/>
    </w:p>
    <w:p w:rsidR="00412CD7" w:rsidRPr="00CF63AA" w:rsidRDefault="00412CD7" w:rsidP="00412CD7">
      <w:pPr>
        <w:pStyle w:val="BodyText"/>
        <w:rPr>
          <w:rFonts w:asciiTheme="minorHAnsi" w:hAnsiTheme="minorHAnsi"/>
          <w:sz w:val="24"/>
          <w:szCs w:val="24"/>
        </w:rPr>
      </w:pPr>
      <w:r w:rsidRPr="00CF63AA">
        <w:rPr>
          <w:rFonts w:asciiTheme="minorHAnsi" w:hAnsiTheme="minorHAnsi"/>
          <w:sz w:val="24"/>
          <w:szCs w:val="24"/>
        </w:rPr>
        <w:t xml:space="preserve">To conduct a large-scale, </w:t>
      </w:r>
      <w:bookmarkStart w:id="2" w:name="OLE_LINK7"/>
      <w:bookmarkStart w:id="3" w:name="OLE_LINK8"/>
      <w:r w:rsidRPr="00CF63AA">
        <w:rPr>
          <w:rFonts w:asciiTheme="minorHAnsi" w:hAnsiTheme="minorHAnsi"/>
          <w:sz w:val="24"/>
          <w:szCs w:val="24"/>
        </w:rPr>
        <w:t xml:space="preserve">multicentre, double-blind, placebo controlled randomised trial </w:t>
      </w:r>
      <w:r w:rsidR="00CB1208">
        <w:rPr>
          <w:rFonts w:asciiTheme="minorHAnsi" w:hAnsiTheme="minorHAnsi"/>
          <w:sz w:val="24"/>
          <w:szCs w:val="24"/>
        </w:rPr>
        <w:t>assessing</w:t>
      </w:r>
      <w:r w:rsidR="00CB1208" w:rsidRPr="00CF63AA">
        <w:rPr>
          <w:rFonts w:asciiTheme="minorHAnsi" w:hAnsiTheme="minorHAnsi"/>
          <w:sz w:val="24"/>
          <w:szCs w:val="24"/>
        </w:rPr>
        <w:t xml:space="preserve"> </w:t>
      </w:r>
      <w:r w:rsidRPr="00CF63AA">
        <w:rPr>
          <w:rFonts w:asciiTheme="minorHAnsi" w:hAnsiTheme="minorHAnsi"/>
          <w:sz w:val="24"/>
          <w:szCs w:val="24"/>
        </w:rPr>
        <w:t>the efficacy (and safety) of the addition of oral azithromycin</w:t>
      </w:r>
      <w:r w:rsidR="00CB1208">
        <w:rPr>
          <w:rFonts w:asciiTheme="minorHAnsi" w:hAnsiTheme="minorHAnsi"/>
          <w:sz w:val="24"/>
          <w:szCs w:val="24"/>
        </w:rPr>
        <w:t>, compared with placebo,</w:t>
      </w:r>
      <w:r w:rsidRPr="00CF63AA">
        <w:rPr>
          <w:rFonts w:asciiTheme="minorHAnsi" w:hAnsiTheme="minorHAnsi"/>
          <w:sz w:val="24"/>
          <w:szCs w:val="24"/>
        </w:rPr>
        <w:t xml:space="preserve"> for 48 weeks to fixed dose maintenance therapy on the incidence of asthma exacerbations and clinical asthma status in people with persistent asthma. </w:t>
      </w:r>
      <w:bookmarkEnd w:id="2"/>
      <w:bookmarkEnd w:id="3"/>
    </w:p>
    <w:p w:rsidR="00412CD7" w:rsidRPr="00CF63AA" w:rsidRDefault="00412CD7" w:rsidP="00412CD7">
      <w:pPr>
        <w:autoSpaceDE w:val="0"/>
        <w:autoSpaceDN w:val="0"/>
        <w:adjustRightInd w:val="0"/>
        <w:jc w:val="both"/>
        <w:outlineLvl w:val="7"/>
        <w:rPr>
          <w:rFonts w:cs="Arial"/>
          <w:color w:val="000000"/>
          <w:sz w:val="24"/>
          <w:szCs w:val="24"/>
        </w:rPr>
      </w:pPr>
      <w:r w:rsidRPr="00CF63AA">
        <w:rPr>
          <w:rFonts w:cs="Arial"/>
          <w:color w:val="000000"/>
          <w:sz w:val="24"/>
          <w:szCs w:val="24"/>
        </w:rPr>
        <w:t xml:space="preserve">The specific hypotheses that will be addressed are: </w:t>
      </w:r>
    </w:p>
    <w:p w:rsidR="00412CD7" w:rsidRPr="00CF63AA" w:rsidRDefault="00CB1208" w:rsidP="00412CD7">
      <w:pPr>
        <w:numPr>
          <w:ilvl w:val="0"/>
          <w:numId w:val="5"/>
        </w:numPr>
        <w:tabs>
          <w:tab w:val="clear" w:pos="1004"/>
          <w:tab w:val="num" w:pos="567"/>
        </w:tabs>
        <w:autoSpaceDE w:val="0"/>
        <w:autoSpaceDN w:val="0"/>
        <w:adjustRightInd w:val="0"/>
        <w:spacing w:before="60" w:after="0" w:line="240" w:lineRule="auto"/>
        <w:ind w:left="567" w:hanging="567"/>
        <w:jc w:val="both"/>
        <w:rPr>
          <w:rFonts w:cs="Arial"/>
          <w:color w:val="000000"/>
          <w:sz w:val="24"/>
          <w:szCs w:val="24"/>
        </w:rPr>
      </w:pPr>
      <w:r>
        <w:rPr>
          <w:rFonts w:cs="Arial"/>
          <w:color w:val="000000"/>
          <w:sz w:val="24"/>
          <w:szCs w:val="24"/>
        </w:rPr>
        <w:t>That among patients with non-eosinophilic asthma, the a</w:t>
      </w:r>
      <w:r w:rsidR="00412CD7" w:rsidRPr="00CF63AA">
        <w:rPr>
          <w:rFonts w:cs="Arial"/>
          <w:color w:val="000000"/>
          <w:sz w:val="24"/>
          <w:szCs w:val="24"/>
        </w:rPr>
        <w:t>ddition of azithromycin</w:t>
      </w:r>
      <w:r>
        <w:rPr>
          <w:rFonts w:cs="Arial"/>
          <w:color w:val="000000"/>
          <w:sz w:val="24"/>
          <w:szCs w:val="24"/>
        </w:rPr>
        <w:t>, compared with placebo,</w:t>
      </w:r>
      <w:r w:rsidR="00412CD7" w:rsidRPr="00CF63AA">
        <w:rPr>
          <w:rFonts w:cs="Arial"/>
          <w:color w:val="000000"/>
          <w:sz w:val="24"/>
          <w:szCs w:val="24"/>
        </w:rPr>
        <w:t xml:space="preserve"> will result in </w:t>
      </w:r>
      <w:r w:rsidR="00146299">
        <w:rPr>
          <w:rFonts w:cs="Arial"/>
          <w:color w:val="000000"/>
          <w:sz w:val="24"/>
          <w:szCs w:val="24"/>
        </w:rPr>
        <w:t>significant</w:t>
      </w:r>
      <w:r w:rsidR="00412CD7" w:rsidRPr="00CF63AA">
        <w:rPr>
          <w:rFonts w:cs="Arial"/>
          <w:color w:val="000000"/>
          <w:sz w:val="24"/>
          <w:szCs w:val="24"/>
        </w:rPr>
        <w:t xml:space="preserve"> reduction in </w:t>
      </w:r>
      <w:r>
        <w:rPr>
          <w:rFonts w:cs="Arial"/>
          <w:color w:val="000000"/>
          <w:sz w:val="24"/>
          <w:szCs w:val="24"/>
        </w:rPr>
        <w:t xml:space="preserve">the cumulative incidence of </w:t>
      </w:r>
      <w:r w:rsidR="00412CD7" w:rsidRPr="00CF63AA">
        <w:rPr>
          <w:rFonts w:cs="Arial"/>
          <w:color w:val="000000"/>
          <w:sz w:val="24"/>
          <w:szCs w:val="24"/>
        </w:rPr>
        <w:t>asthma exacerbations; and</w:t>
      </w:r>
      <w:r w:rsidR="00E57A63">
        <w:rPr>
          <w:rFonts w:cs="Arial"/>
          <w:color w:val="000000"/>
          <w:sz w:val="24"/>
          <w:szCs w:val="24"/>
        </w:rPr>
        <w:tab/>
      </w:r>
    </w:p>
    <w:p w:rsidR="00412CD7" w:rsidRDefault="00412CD7" w:rsidP="00412CD7">
      <w:pPr>
        <w:numPr>
          <w:ilvl w:val="0"/>
          <w:numId w:val="5"/>
        </w:numPr>
        <w:tabs>
          <w:tab w:val="clear" w:pos="1004"/>
          <w:tab w:val="num" w:pos="567"/>
        </w:tabs>
        <w:autoSpaceDE w:val="0"/>
        <w:autoSpaceDN w:val="0"/>
        <w:adjustRightInd w:val="0"/>
        <w:spacing w:after="0" w:line="240" w:lineRule="auto"/>
        <w:ind w:left="567" w:hanging="567"/>
        <w:jc w:val="both"/>
        <w:rPr>
          <w:rFonts w:cs="Arial"/>
          <w:color w:val="000000"/>
          <w:sz w:val="24"/>
          <w:szCs w:val="24"/>
        </w:rPr>
      </w:pPr>
      <w:r w:rsidRPr="00CF63AA">
        <w:rPr>
          <w:rFonts w:cs="Arial"/>
          <w:color w:val="000000"/>
          <w:sz w:val="24"/>
          <w:szCs w:val="24"/>
        </w:rPr>
        <w:t xml:space="preserve">Azithromycin treatment will significantly improve health status and reduce asthma symptom scores in patients with non-eosinophilic asthma. </w:t>
      </w:r>
    </w:p>
    <w:p w:rsidR="00C76464" w:rsidRPr="00CF63AA" w:rsidRDefault="00C76464" w:rsidP="00273409">
      <w:pPr>
        <w:autoSpaceDE w:val="0"/>
        <w:autoSpaceDN w:val="0"/>
        <w:adjustRightInd w:val="0"/>
        <w:spacing w:after="0" w:line="240" w:lineRule="auto"/>
        <w:ind w:left="567"/>
        <w:jc w:val="both"/>
        <w:rPr>
          <w:rFonts w:cs="Arial"/>
          <w:color w:val="000000"/>
          <w:sz w:val="24"/>
          <w:szCs w:val="24"/>
        </w:rPr>
      </w:pPr>
    </w:p>
    <w:p w:rsidR="00412CD7" w:rsidRPr="00CF63AA" w:rsidRDefault="00412CD7" w:rsidP="00412CD7">
      <w:pPr>
        <w:pStyle w:val="Heading3"/>
        <w:numPr>
          <w:ilvl w:val="0"/>
          <w:numId w:val="0"/>
        </w:numPr>
        <w:rPr>
          <w:rFonts w:asciiTheme="minorHAnsi" w:hAnsiTheme="minorHAnsi"/>
          <w:sz w:val="24"/>
          <w:szCs w:val="24"/>
        </w:rPr>
      </w:pPr>
      <w:bookmarkStart w:id="4" w:name="_Ref225332721"/>
      <w:bookmarkStart w:id="5" w:name="_Toc316565908"/>
      <w:r w:rsidRPr="00CF63AA">
        <w:rPr>
          <w:rFonts w:asciiTheme="minorHAnsi" w:hAnsiTheme="minorHAnsi"/>
          <w:sz w:val="24"/>
          <w:szCs w:val="24"/>
        </w:rPr>
        <w:t>Asthma exacerbations</w:t>
      </w:r>
      <w:bookmarkEnd w:id="4"/>
      <w:bookmarkEnd w:id="5"/>
    </w:p>
    <w:p w:rsidR="00412CD7" w:rsidRPr="00CF63AA" w:rsidRDefault="00412CD7" w:rsidP="00412CD7">
      <w:pPr>
        <w:pStyle w:val="BodyText"/>
        <w:spacing w:before="120"/>
        <w:rPr>
          <w:rFonts w:asciiTheme="minorHAnsi" w:hAnsiTheme="minorHAnsi"/>
          <w:color w:val="000000"/>
          <w:sz w:val="24"/>
          <w:szCs w:val="24"/>
        </w:rPr>
      </w:pPr>
      <w:r w:rsidRPr="00CF63AA">
        <w:rPr>
          <w:rFonts w:asciiTheme="minorHAnsi" w:hAnsiTheme="minorHAnsi"/>
          <w:color w:val="000000"/>
          <w:sz w:val="24"/>
          <w:szCs w:val="24"/>
        </w:rPr>
        <w:t xml:space="preserve">The primary outcome for hypothesis 1 will </w:t>
      </w:r>
      <w:r w:rsidRPr="00CF63AA">
        <w:rPr>
          <w:rFonts w:asciiTheme="minorHAnsi" w:hAnsiTheme="minorHAnsi"/>
          <w:sz w:val="24"/>
          <w:szCs w:val="24"/>
        </w:rPr>
        <w:t>be</w:t>
      </w:r>
      <w:r w:rsidRPr="00CF63AA">
        <w:rPr>
          <w:rFonts w:asciiTheme="minorHAnsi" w:hAnsiTheme="minorHAnsi"/>
          <w:color w:val="000000"/>
          <w:sz w:val="24"/>
          <w:szCs w:val="24"/>
        </w:rPr>
        <w:t xml:space="preserve"> asthma exacerbations.</w:t>
      </w:r>
    </w:p>
    <w:p w:rsidR="00412CD7" w:rsidRPr="00CF63AA" w:rsidRDefault="00412CD7" w:rsidP="00412CD7">
      <w:pPr>
        <w:pStyle w:val="BodyText"/>
        <w:spacing w:before="120"/>
        <w:rPr>
          <w:rFonts w:asciiTheme="minorHAnsi" w:hAnsiTheme="minorHAnsi"/>
          <w:color w:val="000000"/>
          <w:sz w:val="24"/>
          <w:szCs w:val="24"/>
        </w:rPr>
      </w:pPr>
      <w:r w:rsidRPr="00CF63AA">
        <w:rPr>
          <w:rFonts w:asciiTheme="minorHAnsi" w:hAnsiTheme="minorHAnsi"/>
          <w:color w:val="000000"/>
          <w:sz w:val="24"/>
          <w:szCs w:val="24"/>
        </w:rPr>
        <w:t xml:space="preserve">Asthma exacerbations will be defined as ‘severe’ or ‘moderate’ according to the ATS/ERS Asthma Outcomes Taskforce guidelines. </w:t>
      </w:r>
      <w:r w:rsidRPr="00CF63AA">
        <w:rPr>
          <w:rFonts w:asciiTheme="minorHAnsi" w:hAnsiTheme="minorHAnsi"/>
          <w:sz w:val="24"/>
          <w:szCs w:val="24"/>
          <w:vertAlign w:val="superscript"/>
        </w:rPr>
        <w:t>40</w:t>
      </w:r>
    </w:p>
    <w:p w:rsidR="00412CD7" w:rsidRPr="00CF63AA" w:rsidRDefault="00412CD7" w:rsidP="00412CD7">
      <w:pPr>
        <w:pStyle w:val="BodyText"/>
        <w:spacing w:before="120"/>
        <w:rPr>
          <w:rFonts w:asciiTheme="minorHAnsi" w:hAnsiTheme="minorHAnsi"/>
          <w:color w:val="000000"/>
          <w:sz w:val="24"/>
          <w:szCs w:val="24"/>
        </w:rPr>
      </w:pPr>
      <w:r w:rsidRPr="00CF63AA">
        <w:rPr>
          <w:rFonts w:asciiTheme="minorHAnsi" w:hAnsiTheme="minorHAnsi"/>
          <w:color w:val="000000"/>
          <w:sz w:val="24"/>
          <w:szCs w:val="24"/>
        </w:rPr>
        <w:t xml:space="preserve">A ‘severe’ exacerbation will be defined as a </w:t>
      </w:r>
      <w:r w:rsidRPr="00CF63AA">
        <w:rPr>
          <w:rFonts w:asciiTheme="minorHAnsi" w:hAnsiTheme="minorHAnsi"/>
          <w:sz w:val="24"/>
          <w:szCs w:val="24"/>
        </w:rPr>
        <w:t>participant</w:t>
      </w:r>
      <w:r w:rsidRPr="00CF63AA">
        <w:rPr>
          <w:rFonts w:asciiTheme="minorHAnsi" w:hAnsiTheme="minorHAnsi"/>
          <w:color w:val="000000"/>
          <w:sz w:val="24"/>
          <w:szCs w:val="24"/>
        </w:rPr>
        <w:t xml:space="preserve"> who requires:</w:t>
      </w:r>
    </w:p>
    <w:p w:rsidR="00412CD7" w:rsidRPr="00CF63AA" w:rsidRDefault="00412CD7" w:rsidP="00412CD7">
      <w:pPr>
        <w:numPr>
          <w:ilvl w:val="0"/>
          <w:numId w:val="1"/>
        </w:numPr>
        <w:autoSpaceDE w:val="0"/>
        <w:autoSpaceDN w:val="0"/>
        <w:adjustRightInd w:val="0"/>
        <w:spacing w:after="0" w:line="240" w:lineRule="auto"/>
        <w:jc w:val="both"/>
        <w:rPr>
          <w:rFonts w:cs="Arial"/>
          <w:color w:val="000000"/>
          <w:sz w:val="24"/>
          <w:szCs w:val="24"/>
        </w:rPr>
      </w:pPr>
      <w:r w:rsidRPr="00CF63AA">
        <w:rPr>
          <w:rFonts w:cs="Arial"/>
          <w:color w:val="000000"/>
          <w:sz w:val="24"/>
          <w:szCs w:val="24"/>
        </w:rPr>
        <w:t>Use of systemic corticosteroids, or an increase from a stable systemic corticosteroid maintenance dose, for at least 3 days.  (Courses of corticosteroids separated by 1 week or more will be treated as separate severe exacerbations);</w:t>
      </w:r>
    </w:p>
    <w:p w:rsidR="00412CD7" w:rsidRPr="00CF63AA" w:rsidRDefault="00412CD7" w:rsidP="00412CD7">
      <w:pPr>
        <w:numPr>
          <w:ilvl w:val="0"/>
          <w:numId w:val="1"/>
        </w:numPr>
        <w:autoSpaceDE w:val="0"/>
        <w:autoSpaceDN w:val="0"/>
        <w:adjustRightInd w:val="0"/>
        <w:spacing w:after="0" w:line="240" w:lineRule="auto"/>
        <w:jc w:val="both"/>
        <w:rPr>
          <w:rFonts w:cs="Arial"/>
          <w:color w:val="000000"/>
          <w:sz w:val="24"/>
          <w:szCs w:val="24"/>
        </w:rPr>
      </w:pPr>
      <w:r w:rsidRPr="00CF63AA">
        <w:rPr>
          <w:rFonts w:cs="Arial"/>
          <w:color w:val="000000"/>
          <w:sz w:val="24"/>
          <w:szCs w:val="24"/>
        </w:rPr>
        <w:t>Hospitalisation or an emergency department visit requiring systemic corticosteroids.</w:t>
      </w:r>
    </w:p>
    <w:p w:rsidR="00412CD7" w:rsidRPr="00CF63AA" w:rsidRDefault="00412CD7" w:rsidP="00412CD7">
      <w:pPr>
        <w:pStyle w:val="BodyText"/>
        <w:spacing w:before="120"/>
        <w:rPr>
          <w:rFonts w:asciiTheme="minorHAnsi" w:hAnsiTheme="minorHAnsi"/>
          <w:color w:val="000000"/>
          <w:sz w:val="24"/>
          <w:szCs w:val="24"/>
        </w:rPr>
      </w:pPr>
      <w:r w:rsidRPr="00CF63AA">
        <w:rPr>
          <w:rFonts w:asciiTheme="minorHAnsi" w:hAnsiTheme="minorHAnsi"/>
          <w:color w:val="000000"/>
          <w:sz w:val="24"/>
          <w:szCs w:val="24"/>
        </w:rPr>
        <w:t>A ‘moderate’ exacerbation will be defined as a participant who has/requires:</w:t>
      </w:r>
    </w:p>
    <w:p w:rsidR="00412CD7" w:rsidRPr="00CF63AA" w:rsidRDefault="00412CD7" w:rsidP="00412CD7">
      <w:pPr>
        <w:pStyle w:val="BodyText"/>
        <w:numPr>
          <w:ilvl w:val="0"/>
          <w:numId w:val="3"/>
        </w:numPr>
        <w:spacing w:before="120"/>
        <w:rPr>
          <w:rFonts w:asciiTheme="minorHAnsi" w:hAnsiTheme="minorHAnsi"/>
          <w:color w:val="000000"/>
          <w:sz w:val="24"/>
          <w:szCs w:val="24"/>
        </w:rPr>
      </w:pPr>
      <w:r w:rsidRPr="00CF63AA">
        <w:rPr>
          <w:rFonts w:asciiTheme="minorHAnsi" w:hAnsiTheme="minorHAnsi"/>
          <w:color w:val="000000"/>
          <w:sz w:val="24"/>
          <w:szCs w:val="24"/>
        </w:rPr>
        <w:t xml:space="preserve">Emergency department visit for asthma, </w:t>
      </w:r>
      <w:r w:rsidRPr="00CF63AA">
        <w:rPr>
          <w:rFonts w:asciiTheme="minorHAnsi" w:hAnsiTheme="minorHAnsi"/>
          <w:color w:val="000000"/>
          <w:sz w:val="24"/>
          <w:szCs w:val="24"/>
          <w:u w:val="single"/>
        </w:rPr>
        <w:t>not</w:t>
      </w:r>
      <w:r w:rsidRPr="00CF63AA">
        <w:rPr>
          <w:rFonts w:asciiTheme="minorHAnsi" w:hAnsiTheme="minorHAnsi"/>
          <w:color w:val="000000"/>
          <w:sz w:val="24"/>
          <w:szCs w:val="24"/>
        </w:rPr>
        <w:t xml:space="preserve"> requiring systemic corticosteroids </w:t>
      </w:r>
      <w:r w:rsidRPr="00CF63AA">
        <w:rPr>
          <w:rFonts w:asciiTheme="minorHAnsi" w:hAnsiTheme="minorHAnsi"/>
          <w:color w:val="000000"/>
          <w:sz w:val="24"/>
          <w:szCs w:val="24"/>
          <w:u w:val="single"/>
        </w:rPr>
        <w:t>OR</w:t>
      </w:r>
      <w:r w:rsidRPr="00CF63AA">
        <w:rPr>
          <w:rFonts w:asciiTheme="minorHAnsi" w:hAnsiTheme="minorHAnsi"/>
          <w:color w:val="000000"/>
          <w:sz w:val="24"/>
          <w:szCs w:val="24"/>
        </w:rPr>
        <w:t>;</w:t>
      </w:r>
    </w:p>
    <w:p w:rsidR="00412CD7" w:rsidRPr="00CF63AA" w:rsidRDefault="00412CD7" w:rsidP="00412CD7">
      <w:pPr>
        <w:pStyle w:val="BodyText"/>
        <w:numPr>
          <w:ilvl w:val="0"/>
          <w:numId w:val="3"/>
        </w:numPr>
        <w:spacing w:before="120"/>
        <w:rPr>
          <w:rFonts w:asciiTheme="minorHAnsi" w:hAnsiTheme="minorHAnsi"/>
          <w:color w:val="000000"/>
          <w:sz w:val="24"/>
          <w:szCs w:val="24"/>
        </w:rPr>
      </w:pPr>
      <w:r w:rsidRPr="00CF63AA">
        <w:rPr>
          <w:rFonts w:asciiTheme="minorHAnsi" w:hAnsiTheme="minorHAnsi"/>
          <w:color w:val="000000"/>
          <w:sz w:val="24"/>
          <w:szCs w:val="24"/>
        </w:rPr>
        <w:t xml:space="preserve">A temporary change in preventer treatment (ICS, OR ICS/LABA) or commencement of antibiotics </w:t>
      </w:r>
    </w:p>
    <w:p w:rsidR="00412CD7" w:rsidRPr="00CF63AA" w:rsidRDefault="00412CD7" w:rsidP="00412CD7">
      <w:pPr>
        <w:pStyle w:val="BodyText"/>
        <w:spacing w:before="120"/>
        <w:ind w:left="1140"/>
        <w:rPr>
          <w:rFonts w:asciiTheme="minorHAnsi" w:hAnsiTheme="minorHAnsi"/>
          <w:color w:val="000000"/>
          <w:sz w:val="24"/>
          <w:szCs w:val="24"/>
        </w:rPr>
      </w:pPr>
      <w:r w:rsidRPr="00CF63AA">
        <w:rPr>
          <w:rFonts w:asciiTheme="minorHAnsi" w:hAnsiTheme="minorHAnsi"/>
          <w:color w:val="000000"/>
          <w:sz w:val="24"/>
          <w:szCs w:val="24"/>
          <w:u w:val="single"/>
        </w:rPr>
        <w:t>AND at least one</w:t>
      </w:r>
      <w:r w:rsidRPr="00CF63AA">
        <w:rPr>
          <w:rFonts w:asciiTheme="minorHAnsi" w:hAnsiTheme="minorHAnsi"/>
          <w:color w:val="000000"/>
          <w:sz w:val="24"/>
          <w:szCs w:val="24"/>
        </w:rPr>
        <w:t xml:space="preserve"> of the following:</w:t>
      </w:r>
    </w:p>
    <w:p w:rsidR="00412CD7" w:rsidRPr="00CF63AA" w:rsidRDefault="00412CD7" w:rsidP="00412CD7">
      <w:pPr>
        <w:pStyle w:val="BodyText"/>
        <w:numPr>
          <w:ilvl w:val="0"/>
          <w:numId w:val="4"/>
        </w:numPr>
        <w:spacing w:before="120"/>
        <w:rPr>
          <w:rFonts w:asciiTheme="minorHAnsi" w:hAnsiTheme="minorHAnsi"/>
          <w:color w:val="000000"/>
          <w:sz w:val="24"/>
          <w:szCs w:val="24"/>
        </w:rPr>
      </w:pPr>
      <w:r w:rsidRPr="00CF63AA">
        <w:rPr>
          <w:rFonts w:asciiTheme="minorHAnsi" w:hAnsiTheme="minorHAnsi"/>
          <w:color w:val="000000"/>
          <w:sz w:val="24"/>
          <w:szCs w:val="24"/>
        </w:rPr>
        <w:t>Deterioration in asthma symptoms for at least 2 days;</w:t>
      </w:r>
    </w:p>
    <w:p w:rsidR="00412CD7" w:rsidRPr="00CF63AA" w:rsidRDefault="00412CD7" w:rsidP="00412CD7">
      <w:pPr>
        <w:pStyle w:val="BodyText"/>
        <w:numPr>
          <w:ilvl w:val="0"/>
          <w:numId w:val="4"/>
        </w:numPr>
        <w:spacing w:before="120"/>
        <w:rPr>
          <w:rFonts w:asciiTheme="minorHAnsi" w:hAnsiTheme="minorHAnsi"/>
          <w:color w:val="000000"/>
          <w:sz w:val="24"/>
          <w:szCs w:val="24"/>
        </w:rPr>
      </w:pPr>
      <w:r w:rsidRPr="00CF63AA">
        <w:rPr>
          <w:rFonts w:asciiTheme="minorHAnsi" w:hAnsiTheme="minorHAnsi"/>
          <w:color w:val="000000"/>
          <w:sz w:val="24"/>
          <w:szCs w:val="24"/>
        </w:rPr>
        <w:t>Deterioration in lung function for at least 2 days;</w:t>
      </w:r>
    </w:p>
    <w:p w:rsidR="00412CD7" w:rsidRPr="00CF63AA" w:rsidRDefault="00412CD7" w:rsidP="00412CD7">
      <w:pPr>
        <w:pStyle w:val="BodyText"/>
        <w:numPr>
          <w:ilvl w:val="0"/>
          <w:numId w:val="4"/>
        </w:numPr>
        <w:spacing w:before="120"/>
        <w:rPr>
          <w:rFonts w:asciiTheme="minorHAnsi" w:hAnsiTheme="minorHAnsi"/>
          <w:color w:val="000000"/>
          <w:sz w:val="24"/>
          <w:szCs w:val="24"/>
          <w:u w:val="single"/>
        </w:rPr>
      </w:pPr>
      <w:r w:rsidRPr="00CF63AA">
        <w:rPr>
          <w:rFonts w:asciiTheme="minorHAnsi" w:hAnsiTheme="minorHAnsi"/>
          <w:color w:val="000000"/>
          <w:sz w:val="24"/>
          <w:szCs w:val="24"/>
        </w:rPr>
        <w:t>Increased rescue bronchodilator use for at least 2 days</w:t>
      </w:r>
    </w:p>
    <w:p w:rsidR="00412CD7" w:rsidRPr="00CF63AA" w:rsidRDefault="00412CD7" w:rsidP="00412CD7">
      <w:pPr>
        <w:pStyle w:val="BodyText"/>
        <w:spacing w:before="120"/>
        <w:rPr>
          <w:rFonts w:asciiTheme="minorHAnsi" w:hAnsiTheme="minorHAnsi"/>
          <w:color w:val="000000"/>
          <w:sz w:val="24"/>
          <w:szCs w:val="24"/>
        </w:rPr>
      </w:pPr>
      <w:r w:rsidRPr="00CF63AA">
        <w:rPr>
          <w:rFonts w:asciiTheme="minorHAnsi" w:hAnsiTheme="minorHAnsi"/>
          <w:color w:val="000000"/>
          <w:sz w:val="24"/>
          <w:szCs w:val="24"/>
          <w:u w:val="single"/>
        </w:rPr>
        <w:t xml:space="preserve">Total number of exacerbations </w:t>
      </w:r>
      <w:r w:rsidRPr="00CF63AA">
        <w:rPr>
          <w:rFonts w:asciiTheme="minorHAnsi" w:hAnsiTheme="minorHAnsi"/>
          <w:color w:val="000000"/>
          <w:sz w:val="24"/>
          <w:szCs w:val="24"/>
        </w:rPr>
        <w:t xml:space="preserve">will constitute ‘severe’ plus ‘moderate’ exacerbations.  Asthma exacerbation data will be collected at 6-weekly clinical assessments, follow-up phone calls, </w:t>
      </w:r>
      <w:proofErr w:type="gramStart"/>
      <w:r w:rsidRPr="00CF63AA">
        <w:rPr>
          <w:rFonts w:asciiTheme="minorHAnsi" w:hAnsiTheme="minorHAnsi"/>
          <w:color w:val="000000"/>
          <w:sz w:val="24"/>
          <w:szCs w:val="24"/>
        </w:rPr>
        <w:t>patient</w:t>
      </w:r>
      <w:proofErr w:type="gramEnd"/>
      <w:r w:rsidRPr="00CF63AA">
        <w:rPr>
          <w:rFonts w:asciiTheme="minorHAnsi" w:hAnsiTheme="minorHAnsi"/>
          <w:color w:val="000000"/>
          <w:sz w:val="24"/>
          <w:szCs w:val="24"/>
        </w:rPr>
        <w:t xml:space="preserve"> diary and by review of medical records. </w:t>
      </w:r>
    </w:p>
    <w:p w:rsidR="00146299" w:rsidRPr="006A06B4" w:rsidRDefault="00146299" w:rsidP="00CF63AA">
      <w:pPr>
        <w:pStyle w:val="Heading2"/>
        <w:numPr>
          <w:ilvl w:val="0"/>
          <w:numId w:val="0"/>
        </w:numPr>
        <w:rPr>
          <w:rFonts w:asciiTheme="minorHAnsi" w:hAnsiTheme="minorHAnsi"/>
          <w:sz w:val="24"/>
          <w:szCs w:val="24"/>
        </w:rPr>
      </w:pPr>
      <w:bookmarkStart w:id="6" w:name="_Toc316565920"/>
      <w:r w:rsidRPr="006A06B4">
        <w:rPr>
          <w:rFonts w:asciiTheme="minorHAnsi" w:hAnsiTheme="minorHAnsi"/>
          <w:sz w:val="24"/>
          <w:szCs w:val="24"/>
        </w:rPr>
        <w:t>Asthma inflammatory Phenotype</w:t>
      </w:r>
    </w:p>
    <w:p w:rsidR="00F010E4" w:rsidRPr="006A06B4" w:rsidRDefault="00F010E4" w:rsidP="00F010E4">
      <w:pPr>
        <w:rPr>
          <w:sz w:val="24"/>
          <w:szCs w:val="24"/>
        </w:rPr>
      </w:pPr>
      <w:r w:rsidRPr="006A06B4">
        <w:rPr>
          <w:sz w:val="24"/>
          <w:szCs w:val="24"/>
        </w:rPr>
        <w:t>Non</w:t>
      </w:r>
      <w:r w:rsidR="005F7233">
        <w:rPr>
          <w:sz w:val="24"/>
          <w:szCs w:val="24"/>
        </w:rPr>
        <w:t>-</w:t>
      </w:r>
      <w:r w:rsidRPr="006A06B4">
        <w:rPr>
          <w:sz w:val="24"/>
          <w:szCs w:val="24"/>
        </w:rPr>
        <w:t>eosinophilic asthma is defined as sputum eosinophils &lt; 3%, or if sputum is not available, blood eosinophils &lt;0.3x10E9/l.</w:t>
      </w:r>
    </w:p>
    <w:p w:rsidR="00146299" w:rsidRPr="006A06B4" w:rsidRDefault="00146299" w:rsidP="006A06B4">
      <w:pPr>
        <w:rPr>
          <w:sz w:val="24"/>
          <w:szCs w:val="24"/>
        </w:rPr>
      </w:pPr>
      <w:r w:rsidRPr="006A06B4">
        <w:rPr>
          <w:sz w:val="24"/>
          <w:szCs w:val="24"/>
        </w:rPr>
        <w:lastRenderedPageBreak/>
        <w:t>Eosinophilic asthma will be defined by sputum eosinophils &gt;/= 3%, or if sputum is not available, blood eosinophils &gt;/=0.3x10E9/l.</w:t>
      </w:r>
    </w:p>
    <w:p w:rsidR="00CF63AA" w:rsidRPr="00CF63AA" w:rsidRDefault="00CF63AA" w:rsidP="00CF63AA">
      <w:pPr>
        <w:pStyle w:val="Heading2"/>
        <w:numPr>
          <w:ilvl w:val="0"/>
          <w:numId w:val="0"/>
        </w:numPr>
        <w:rPr>
          <w:rFonts w:asciiTheme="minorHAnsi" w:hAnsiTheme="minorHAnsi"/>
          <w:sz w:val="24"/>
          <w:szCs w:val="24"/>
        </w:rPr>
      </w:pPr>
      <w:r w:rsidRPr="00CF63AA">
        <w:rPr>
          <w:rFonts w:asciiTheme="minorHAnsi" w:hAnsiTheme="minorHAnsi"/>
          <w:sz w:val="24"/>
          <w:szCs w:val="24"/>
        </w:rPr>
        <w:t>Sample size</w:t>
      </w:r>
      <w:bookmarkEnd w:id="6"/>
    </w:p>
    <w:p w:rsidR="00C76464" w:rsidRPr="001C0E9A" w:rsidRDefault="00C76464" w:rsidP="00C76464">
      <w:pPr>
        <w:rPr>
          <w:b/>
          <w:sz w:val="24"/>
          <w:szCs w:val="24"/>
        </w:rPr>
      </w:pPr>
      <w:bookmarkStart w:id="7" w:name="_Toc316565921"/>
      <w:r w:rsidRPr="001C0E9A">
        <w:rPr>
          <w:b/>
          <w:sz w:val="24"/>
          <w:szCs w:val="24"/>
        </w:rPr>
        <w:t xml:space="preserve">AMAZES ANALYSIS UPDATE 01 </w:t>
      </w:r>
      <w:r w:rsidR="006E7310">
        <w:rPr>
          <w:b/>
          <w:sz w:val="24"/>
          <w:szCs w:val="24"/>
        </w:rPr>
        <w:t>FEB</w:t>
      </w:r>
      <w:r w:rsidRPr="001C0E9A">
        <w:rPr>
          <w:b/>
          <w:sz w:val="24"/>
          <w:szCs w:val="24"/>
        </w:rPr>
        <w:t xml:space="preserve"> 201</w:t>
      </w:r>
      <w:r w:rsidR="006E7310">
        <w:rPr>
          <w:b/>
          <w:sz w:val="24"/>
          <w:szCs w:val="24"/>
        </w:rPr>
        <w:t>6</w:t>
      </w:r>
    </w:p>
    <w:p w:rsidR="00C76464" w:rsidRPr="001C0E9A" w:rsidRDefault="00C76464" w:rsidP="00C76464">
      <w:pPr>
        <w:rPr>
          <w:sz w:val="24"/>
          <w:szCs w:val="24"/>
        </w:rPr>
      </w:pPr>
      <w:r w:rsidRPr="001C0E9A">
        <w:rPr>
          <w:sz w:val="24"/>
          <w:szCs w:val="24"/>
        </w:rPr>
        <w:t>The AMAZES analysis strategy has been modified based on data that has been published since the grant submission (</w:t>
      </w:r>
      <w:proofErr w:type="spellStart"/>
      <w:r w:rsidRPr="001C0E9A">
        <w:rPr>
          <w:sz w:val="24"/>
          <w:szCs w:val="24"/>
        </w:rPr>
        <w:t>Brusselle</w:t>
      </w:r>
      <w:proofErr w:type="spellEnd"/>
      <w:r w:rsidRPr="001C0E9A">
        <w:rPr>
          <w:sz w:val="24"/>
          <w:szCs w:val="24"/>
        </w:rPr>
        <w:t xml:space="preserve"> GG, Thorax 2013, </w:t>
      </w:r>
      <w:proofErr w:type="gramStart"/>
      <w:r w:rsidRPr="001C0E9A">
        <w:rPr>
          <w:sz w:val="24"/>
          <w:szCs w:val="24"/>
        </w:rPr>
        <w:t>AZISAST</w:t>
      </w:r>
      <w:proofErr w:type="gramEnd"/>
      <w:r w:rsidRPr="001C0E9A">
        <w:rPr>
          <w:sz w:val="24"/>
          <w:szCs w:val="24"/>
        </w:rPr>
        <w:t xml:space="preserve"> Study). Th</w:t>
      </w:r>
      <w:r w:rsidR="00CB1208">
        <w:rPr>
          <w:sz w:val="24"/>
          <w:szCs w:val="24"/>
        </w:rPr>
        <w:t>ese</w:t>
      </w:r>
      <w:r w:rsidRPr="001C0E9A">
        <w:rPr>
          <w:sz w:val="24"/>
          <w:szCs w:val="24"/>
        </w:rPr>
        <w:t xml:space="preserve"> data show that the effect of AZM on reduction in asthma exacerbations is restricted to the group with non-eosinophilic asthma (NEA).</w:t>
      </w:r>
    </w:p>
    <w:p w:rsidR="00C76464" w:rsidRPr="001C0E9A" w:rsidRDefault="00C76464" w:rsidP="00C76464">
      <w:pPr>
        <w:rPr>
          <w:sz w:val="24"/>
          <w:szCs w:val="24"/>
        </w:rPr>
      </w:pPr>
      <w:r w:rsidRPr="001C0E9A">
        <w:rPr>
          <w:sz w:val="24"/>
          <w:szCs w:val="24"/>
        </w:rPr>
        <w:t xml:space="preserve">Q. What is the sample size required in AMAZES to detect a reduction in severe asthma exacerbations </w:t>
      </w:r>
      <w:r w:rsidR="005F7233">
        <w:rPr>
          <w:sz w:val="24"/>
          <w:szCs w:val="24"/>
        </w:rPr>
        <w:t xml:space="preserve">in patients with non-eosinophilic </w:t>
      </w:r>
      <w:proofErr w:type="gramStart"/>
      <w:r w:rsidR="005F7233">
        <w:rPr>
          <w:sz w:val="24"/>
          <w:szCs w:val="24"/>
        </w:rPr>
        <w:t>asthma(</w:t>
      </w:r>
      <w:proofErr w:type="gramEnd"/>
      <w:r w:rsidR="005F7233">
        <w:rPr>
          <w:sz w:val="24"/>
          <w:szCs w:val="24"/>
        </w:rPr>
        <w:t xml:space="preserve">NEA), </w:t>
      </w:r>
      <w:r w:rsidRPr="001C0E9A">
        <w:rPr>
          <w:sz w:val="24"/>
          <w:szCs w:val="24"/>
        </w:rPr>
        <w:t>of the same magnitude as observed in AZISAST (0.62 to 0.26)?</w:t>
      </w:r>
    </w:p>
    <w:p w:rsidR="00C76464" w:rsidRPr="001C0E9A" w:rsidRDefault="00C76464" w:rsidP="00C76464">
      <w:pPr>
        <w:rPr>
          <w:sz w:val="24"/>
          <w:szCs w:val="24"/>
        </w:rPr>
      </w:pPr>
      <w:r w:rsidRPr="001C0E9A">
        <w:rPr>
          <w:sz w:val="24"/>
          <w:szCs w:val="24"/>
        </w:rPr>
        <w:t xml:space="preserve">A. </w:t>
      </w:r>
      <w:proofErr w:type="gramStart"/>
      <w:r w:rsidRPr="001C0E9A">
        <w:rPr>
          <w:sz w:val="24"/>
          <w:szCs w:val="24"/>
        </w:rPr>
        <w:t>With</w:t>
      </w:r>
      <w:proofErr w:type="gramEnd"/>
      <w:r w:rsidRPr="001C0E9A">
        <w:rPr>
          <w:sz w:val="24"/>
          <w:szCs w:val="24"/>
        </w:rPr>
        <w:t xml:space="preserve"> 79 per group, 158 in total, AMAZES has 90% power to detect a reduction in severe asthma exacerbations in participants with NEA</w:t>
      </w:r>
    </w:p>
    <w:p w:rsidR="00C76464" w:rsidRPr="001C0E9A" w:rsidRDefault="00C76464" w:rsidP="00C76464">
      <w:pPr>
        <w:rPr>
          <w:sz w:val="24"/>
          <w:szCs w:val="24"/>
        </w:rPr>
      </w:pPr>
      <w:r w:rsidRPr="001C0E9A">
        <w:rPr>
          <w:sz w:val="24"/>
          <w:szCs w:val="24"/>
        </w:rPr>
        <w:t>AMAZES NEA classification</w:t>
      </w:r>
    </w:p>
    <w:tbl>
      <w:tblPr>
        <w:tblStyle w:val="TableGrid"/>
        <w:tblW w:w="0" w:type="auto"/>
        <w:tblLook w:val="04A0" w:firstRow="1" w:lastRow="0" w:firstColumn="1" w:lastColumn="0" w:noHBand="0" w:noVBand="1"/>
      </w:tblPr>
      <w:tblGrid>
        <w:gridCol w:w="4077"/>
        <w:gridCol w:w="2127"/>
      </w:tblGrid>
      <w:tr w:rsidR="00C76464" w:rsidRPr="001C0E9A" w:rsidTr="002B4B22">
        <w:tc>
          <w:tcPr>
            <w:tcW w:w="4077" w:type="dxa"/>
          </w:tcPr>
          <w:p w:rsidR="00C76464" w:rsidRPr="001C0E9A" w:rsidRDefault="00C76464" w:rsidP="002B4B22">
            <w:pPr>
              <w:rPr>
                <w:sz w:val="24"/>
                <w:szCs w:val="24"/>
              </w:rPr>
            </w:pPr>
          </w:p>
        </w:tc>
        <w:tc>
          <w:tcPr>
            <w:tcW w:w="2127" w:type="dxa"/>
          </w:tcPr>
          <w:p w:rsidR="00C76464" w:rsidRPr="001C0E9A" w:rsidRDefault="00C76464" w:rsidP="002B4B22">
            <w:pPr>
              <w:jc w:val="center"/>
              <w:rPr>
                <w:sz w:val="24"/>
                <w:szCs w:val="24"/>
              </w:rPr>
            </w:pPr>
            <w:r w:rsidRPr="001C0E9A">
              <w:rPr>
                <w:sz w:val="24"/>
                <w:szCs w:val="24"/>
              </w:rPr>
              <w:t>n/</w:t>
            </w:r>
            <w:proofErr w:type="gramStart"/>
            <w:r w:rsidRPr="001C0E9A">
              <w:rPr>
                <w:sz w:val="24"/>
                <w:szCs w:val="24"/>
              </w:rPr>
              <w:t>N(</w:t>
            </w:r>
            <w:proofErr w:type="gramEnd"/>
            <w:r w:rsidRPr="001C0E9A">
              <w:rPr>
                <w:sz w:val="24"/>
                <w:szCs w:val="24"/>
              </w:rPr>
              <w:t>%)</w:t>
            </w:r>
          </w:p>
        </w:tc>
      </w:tr>
      <w:tr w:rsidR="00C76464" w:rsidRPr="001C0E9A" w:rsidTr="002B4B22">
        <w:tc>
          <w:tcPr>
            <w:tcW w:w="4077" w:type="dxa"/>
          </w:tcPr>
          <w:p w:rsidR="00C76464" w:rsidRPr="001C0E9A" w:rsidRDefault="00C76464" w:rsidP="002B4B22">
            <w:pPr>
              <w:rPr>
                <w:sz w:val="24"/>
                <w:szCs w:val="24"/>
              </w:rPr>
            </w:pPr>
            <w:r w:rsidRPr="001C0E9A">
              <w:rPr>
                <w:sz w:val="24"/>
                <w:szCs w:val="24"/>
              </w:rPr>
              <w:t>Randomisation sputum (&lt;3%)</w:t>
            </w:r>
          </w:p>
        </w:tc>
        <w:tc>
          <w:tcPr>
            <w:tcW w:w="2127" w:type="dxa"/>
          </w:tcPr>
          <w:p w:rsidR="00C76464" w:rsidRPr="001C0E9A" w:rsidRDefault="00C76464" w:rsidP="002B4B22">
            <w:pPr>
              <w:jc w:val="center"/>
              <w:rPr>
                <w:sz w:val="24"/>
                <w:szCs w:val="24"/>
              </w:rPr>
            </w:pPr>
            <w:r w:rsidRPr="001C0E9A">
              <w:rPr>
                <w:sz w:val="24"/>
                <w:szCs w:val="24"/>
              </w:rPr>
              <w:t>158/350 (51.8%)</w:t>
            </w:r>
          </w:p>
        </w:tc>
      </w:tr>
    </w:tbl>
    <w:p w:rsidR="00C76464" w:rsidRPr="001C0E9A" w:rsidRDefault="00C76464" w:rsidP="00C76464">
      <w:pPr>
        <w:rPr>
          <w:sz w:val="24"/>
          <w:szCs w:val="24"/>
        </w:rPr>
      </w:pPr>
    </w:p>
    <w:p w:rsidR="00000C68" w:rsidRDefault="00C76464" w:rsidP="00C76464">
      <w:pPr>
        <w:rPr>
          <w:b/>
          <w:sz w:val="24"/>
          <w:szCs w:val="24"/>
        </w:rPr>
      </w:pPr>
      <w:proofErr w:type="gramStart"/>
      <w:r w:rsidRPr="001C0E9A">
        <w:rPr>
          <w:b/>
          <w:sz w:val="24"/>
          <w:szCs w:val="24"/>
        </w:rPr>
        <w:t>AMAZES  power</w:t>
      </w:r>
      <w:proofErr w:type="gramEnd"/>
      <w:r w:rsidRPr="001C0E9A">
        <w:rPr>
          <w:b/>
          <w:sz w:val="24"/>
          <w:szCs w:val="24"/>
        </w:rPr>
        <w:t xml:space="preserve"> calculations for NEA (randomisation sputum)  analysis based on </w:t>
      </w:r>
      <w:r w:rsidR="00000C68">
        <w:rPr>
          <w:b/>
          <w:sz w:val="24"/>
          <w:szCs w:val="24"/>
        </w:rPr>
        <w:t>varying reductions (59% to 46%)</w:t>
      </w:r>
    </w:p>
    <w:p w:rsidR="00C76464" w:rsidRPr="00470234" w:rsidRDefault="00C76464" w:rsidP="00C76464">
      <w:pPr>
        <w:rPr>
          <w:sz w:val="24"/>
          <w:szCs w:val="24"/>
        </w:rPr>
      </w:pPr>
      <w:r w:rsidRPr="001C0E9A">
        <w:rPr>
          <w:sz w:val="24"/>
          <w:szCs w:val="24"/>
        </w:rPr>
        <w:t xml:space="preserve">AMAZES </w:t>
      </w:r>
      <w:r w:rsidRPr="00470234">
        <w:rPr>
          <w:rFonts w:eastAsia="Times New Roman" w:cs="Times New Roman"/>
          <w:color w:val="000000"/>
          <w:sz w:val="24"/>
          <w:szCs w:val="24"/>
          <w:lang w:eastAsia="en-AU"/>
        </w:rPr>
        <w:t>Non eosinophilic average severe exacerbation rate =0.43</w:t>
      </w:r>
    </w:p>
    <w:p w:rsidR="00C76464" w:rsidRPr="00470234" w:rsidRDefault="00C76464" w:rsidP="00C76464">
      <w:pPr>
        <w:rPr>
          <w:rFonts w:eastAsia="Times New Roman" w:cs="Times New Roman"/>
          <w:color w:val="000000"/>
          <w:sz w:val="24"/>
          <w:szCs w:val="24"/>
          <w:lang w:eastAsia="en-AU"/>
        </w:rPr>
      </w:pPr>
      <w:r w:rsidRPr="00470234">
        <w:rPr>
          <w:rFonts w:eastAsia="Times New Roman" w:cs="Times New Roman"/>
          <w:color w:val="000000"/>
          <w:sz w:val="24"/>
          <w:szCs w:val="24"/>
          <w:lang w:eastAsia="en-AU"/>
        </w:rPr>
        <w:t>AZISAST severe rate 0.62 vs 0.26 (59% reduction)</w:t>
      </w:r>
    </w:p>
    <w:p w:rsidR="00C76464" w:rsidRDefault="00C76464" w:rsidP="00C76464">
      <w:pPr>
        <w:rPr>
          <w:rFonts w:eastAsia="Times New Roman" w:cs="Times New Roman"/>
          <w:color w:val="000000"/>
          <w:sz w:val="24"/>
          <w:szCs w:val="24"/>
          <w:lang w:eastAsia="en-AU"/>
        </w:rPr>
      </w:pPr>
      <w:r w:rsidRPr="00470234">
        <w:rPr>
          <w:rFonts w:eastAsia="Times New Roman" w:cs="Times New Roman"/>
          <w:color w:val="000000"/>
          <w:sz w:val="24"/>
          <w:szCs w:val="24"/>
          <w:lang w:eastAsia="en-AU"/>
        </w:rPr>
        <w:t>With an AMAZES NEA average exacerbation rate=0.43</w:t>
      </w:r>
      <w:r w:rsidR="006E7310">
        <w:rPr>
          <w:rFonts w:eastAsia="Times New Roman" w:cs="Times New Roman"/>
          <w:color w:val="000000"/>
          <w:sz w:val="24"/>
          <w:szCs w:val="24"/>
          <w:lang w:eastAsia="en-AU"/>
        </w:rPr>
        <w:t xml:space="preserve"> (68 severe exacerbations in n=158)</w:t>
      </w:r>
      <w:r w:rsidRPr="00470234">
        <w:rPr>
          <w:rFonts w:eastAsia="Times New Roman" w:cs="Times New Roman"/>
          <w:color w:val="000000"/>
          <w:sz w:val="24"/>
          <w:szCs w:val="24"/>
          <w:lang w:eastAsia="en-AU"/>
        </w:rPr>
        <w:t>, a 59% reduction in severe exacerbations between placebo &amp; AZM is equivalent to a placebo exacerbation rate=0.61 and AZM severe exacerbation rate=0.25</w:t>
      </w:r>
      <w:r w:rsidR="00000C68">
        <w:rPr>
          <w:rFonts w:eastAsia="Times New Roman" w:cs="Times New Roman"/>
          <w:color w:val="000000"/>
          <w:sz w:val="24"/>
          <w:szCs w:val="24"/>
          <w:lang w:eastAsia="en-AU"/>
        </w:rPr>
        <w:t>, while a 49% reduction</w:t>
      </w:r>
      <w:r w:rsidR="00E57A63">
        <w:rPr>
          <w:rFonts w:eastAsia="Times New Roman" w:cs="Times New Roman"/>
          <w:color w:val="000000"/>
          <w:sz w:val="24"/>
          <w:szCs w:val="24"/>
          <w:lang w:eastAsia="en-AU"/>
        </w:rPr>
        <w:t xml:space="preserve"> is equivalent to a placebo eve</w:t>
      </w:r>
      <w:r w:rsidR="00000C68">
        <w:rPr>
          <w:rFonts w:eastAsia="Times New Roman" w:cs="Times New Roman"/>
          <w:color w:val="000000"/>
          <w:sz w:val="24"/>
          <w:szCs w:val="24"/>
          <w:lang w:eastAsia="en-AU"/>
        </w:rPr>
        <w:t>nt rate=0.57 and AZM event rate=0.29.</w:t>
      </w:r>
    </w:p>
    <w:p w:rsidR="006E7310" w:rsidRDefault="006E7310" w:rsidP="006E7310">
      <w:r>
        <w:t xml:space="preserve"> </w:t>
      </w:r>
      <w:r w:rsidR="00000C68">
        <w:t xml:space="preserve">With 80% power, alpha=0.05, AMAZES requires 58 per group to detect a 59% reduction, 72 per group to detect a 54% reduction </w:t>
      </w:r>
      <w:proofErr w:type="gramStart"/>
      <w:r w:rsidR="00000C68">
        <w:t>and  93</w:t>
      </w:r>
      <w:proofErr w:type="gramEnd"/>
      <w:r w:rsidR="00000C68">
        <w:t xml:space="preserve"> per group to detect a 49% reduction</w:t>
      </w:r>
    </w:p>
    <w:tbl>
      <w:tblPr>
        <w:tblW w:w="9984" w:type="dxa"/>
        <w:tblInd w:w="93" w:type="dxa"/>
        <w:tblLook w:val="04A0" w:firstRow="1" w:lastRow="0" w:firstColumn="1" w:lastColumn="0" w:noHBand="0" w:noVBand="1"/>
      </w:tblPr>
      <w:tblGrid>
        <w:gridCol w:w="3660"/>
        <w:gridCol w:w="1053"/>
        <w:gridCol w:w="1053"/>
        <w:gridCol w:w="1056"/>
        <w:gridCol w:w="1056"/>
        <w:gridCol w:w="1053"/>
        <w:gridCol w:w="1053"/>
      </w:tblGrid>
      <w:tr w:rsidR="006E7310" w:rsidRPr="00000C68" w:rsidTr="002D164C">
        <w:trPr>
          <w:trHeight w:val="300"/>
        </w:trPr>
        <w:tc>
          <w:tcPr>
            <w:tcW w:w="7878" w:type="dxa"/>
            <w:gridSpan w:val="5"/>
            <w:tcBorders>
              <w:top w:val="single" w:sz="4" w:space="0" w:color="auto"/>
              <w:left w:val="single" w:sz="4" w:space="0" w:color="auto"/>
              <w:bottom w:val="nil"/>
              <w:right w:val="nil"/>
            </w:tcBorders>
            <w:shd w:val="clear" w:color="auto" w:fill="auto"/>
            <w:noWrap/>
            <w:vAlign w:val="bottom"/>
            <w:hideMark/>
          </w:tcPr>
          <w:p w:rsidR="006E7310" w:rsidRPr="00000C68" w:rsidRDefault="006E7310" w:rsidP="002D164C">
            <w:pPr>
              <w:spacing w:after="0" w:line="240" w:lineRule="auto"/>
              <w:jc w:val="center"/>
              <w:rPr>
                <w:rFonts w:eastAsia="Times New Roman" w:cs="Times New Roman"/>
                <w:color w:val="000000"/>
                <w:sz w:val="24"/>
                <w:szCs w:val="24"/>
                <w:lang w:eastAsia="en-AU"/>
              </w:rPr>
            </w:pPr>
            <w:r w:rsidRPr="00000C68">
              <w:rPr>
                <w:rFonts w:eastAsia="Times New Roman" w:cs="Times New Roman"/>
                <w:color w:val="000000"/>
                <w:sz w:val="24"/>
                <w:szCs w:val="24"/>
                <w:lang w:eastAsia="en-AU"/>
              </w:rPr>
              <w:t xml:space="preserve">Non eosinophilic average severe </w:t>
            </w:r>
            <w:proofErr w:type="spellStart"/>
            <w:r w:rsidRPr="00000C68">
              <w:rPr>
                <w:rFonts w:eastAsia="Times New Roman" w:cs="Times New Roman"/>
                <w:color w:val="000000"/>
                <w:sz w:val="24"/>
                <w:szCs w:val="24"/>
                <w:lang w:eastAsia="en-AU"/>
              </w:rPr>
              <w:t>exac</w:t>
            </w:r>
            <w:proofErr w:type="spellEnd"/>
            <w:r w:rsidRPr="00000C68">
              <w:rPr>
                <w:rFonts w:eastAsia="Times New Roman" w:cs="Times New Roman"/>
                <w:color w:val="000000"/>
                <w:sz w:val="24"/>
                <w:szCs w:val="24"/>
                <w:lang w:eastAsia="en-AU"/>
              </w:rPr>
              <w:t xml:space="preserve"> rate =</w:t>
            </w:r>
            <w:r w:rsidRPr="00000C68">
              <w:rPr>
                <w:rFonts w:eastAsia="Times New Roman" w:cs="Times New Roman"/>
                <w:b/>
                <w:color w:val="000000"/>
                <w:sz w:val="24"/>
                <w:szCs w:val="24"/>
                <w:lang w:eastAsia="en-AU"/>
              </w:rPr>
              <w:t>0.43,</w:t>
            </w:r>
          </w:p>
        </w:tc>
        <w:tc>
          <w:tcPr>
            <w:tcW w:w="1053" w:type="dxa"/>
            <w:tcBorders>
              <w:top w:val="single" w:sz="4" w:space="0" w:color="auto"/>
              <w:left w:val="nil"/>
              <w:bottom w:val="nil"/>
              <w:right w:val="nil"/>
            </w:tcBorders>
            <w:shd w:val="clear" w:color="auto" w:fill="auto"/>
            <w:noWrap/>
            <w:vAlign w:val="bottom"/>
            <w:hideMark/>
          </w:tcPr>
          <w:p w:rsidR="006E7310" w:rsidRPr="00000C68" w:rsidRDefault="006E7310" w:rsidP="002D164C">
            <w:pPr>
              <w:spacing w:after="0" w:line="240" w:lineRule="auto"/>
              <w:jc w:val="center"/>
              <w:rPr>
                <w:rFonts w:eastAsia="Times New Roman" w:cs="Times New Roman"/>
                <w:color w:val="000000"/>
                <w:sz w:val="24"/>
                <w:szCs w:val="24"/>
                <w:lang w:eastAsia="en-AU"/>
              </w:rPr>
            </w:pPr>
            <w:r w:rsidRPr="00000C68">
              <w:rPr>
                <w:rFonts w:eastAsia="Times New Roman" w:cs="Times New Roman"/>
                <w:color w:val="000000"/>
                <w:sz w:val="24"/>
                <w:szCs w:val="24"/>
                <w:lang w:eastAsia="en-AU"/>
              </w:rPr>
              <w:t> </w:t>
            </w:r>
          </w:p>
        </w:tc>
        <w:tc>
          <w:tcPr>
            <w:tcW w:w="1053" w:type="dxa"/>
            <w:tcBorders>
              <w:top w:val="single" w:sz="4" w:space="0" w:color="auto"/>
              <w:left w:val="nil"/>
              <w:bottom w:val="nil"/>
              <w:right w:val="single" w:sz="4" w:space="0" w:color="auto"/>
            </w:tcBorders>
            <w:shd w:val="clear" w:color="auto" w:fill="auto"/>
            <w:noWrap/>
            <w:vAlign w:val="bottom"/>
            <w:hideMark/>
          </w:tcPr>
          <w:p w:rsidR="006E7310" w:rsidRPr="00000C68" w:rsidRDefault="006E7310" w:rsidP="002D164C">
            <w:pPr>
              <w:spacing w:after="0" w:line="240" w:lineRule="auto"/>
              <w:jc w:val="center"/>
              <w:rPr>
                <w:rFonts w:eastAsia="Times New Roman" w:cs="Times New Roman"/>
                <w:color w:val="000000"/>
                <w:sz w:val="24"/>
                <w:szCs w:val="24"/>
                <w:lang w:eastAsia="en-AU"/>
              </w:rPr>
            </w:pPr>
            <w:r w:rsidRPr="00000C68">
              <w:rPr>
                <w:rFonts w:eastAsia="Times New Roman" w:cs="Times New Roman"/>
                <w:color w:val="000000"/>
                <w:sz w:val="24"/>
                <w:szCs w:val="24"/>
                <w:lang w:eastAsia="en-AU"/>
              </w:rPr>
              <w:t> </w:t>
            </w:r>
          </w:p>
        </w:tc>
      </w:tr>
      <w:tr w:rsidR="00000C68" w:rsidRPr="00000C68" w:rsidTr="002D164C">
        <w:trPr>
          <w:trHeight w:val="300"/>
        </w:trPr>
        <w:tc>
          <w:tcPr>
            <w:tcW w:w="3660" w:type="dxa"/>
            <w:tcBorders>
              <w:top w:val="nil"/>
              <w:left w:val="single" w:sz="4" w:space="0" w:color="auto"/>
              <w:bottom w:val="nil"/>
              <w:right w:val="nil"/>
            </w:tcBorders>
            <w:shd w:val="clear" w:color="auto" w:fill="auto"/>
            <w:noWrap/>
            <w:vAlign w:val="bottom"/>
            <w:hideMark/>
          </w:tcPr>
          <w:p w:rsidR="006E7310" w:rsidRPr="00000C68" w:rsidRDefault="006E7310" w:rsidP="002D164C">
            <w:pPr>
              <w:spacing w:after="0" w:line="240" w:lineRule="auto"/>
              <w:jc w:val="center"/>
              <w:rPr>
                <w:rFonts w:eastAsia="Times New Roman" w:cs="Times New Roman"/>
                <w:color w:val="000000"/>
                <w:sz w:val="24"/>
                <w:szCs w:val="24"/>
                <w:lang w:eastAsia="en-AU"/>
              </w:rPr>
            </w:pPr>
            <w:r w:rsidRPr="00000C68">
              <w:rPr>
                <w:rFonts w:eastAsia="Times New Roman" w:cs="Times New Roman"/>
                <w:color w:val="000000"/>
                <w:sz w:val="24"/>
                <w:szCs w:val="24"/>
                <w:lang w:eastAsia="en-AU"/>
              </w:rPr>
              <w:t>alpha</w:t>
            </w:r>
          </w:p>
        </w:tc>
        <w:tc>
          <w:tcPr>
            <w:tcW w:w="1053" w:type="dxa"/>
            <w:tcBorders>
              <w:top w:val="nil"/>
              <w:left w:val="nil"/>
              <w:bottom w:val="nil"/>
              <w:right w:val="nil"/>
            </w:tcBorders>
            <w:shd w:val="clear" w:color="auto" w:fill="auto"/>
            <w:noWrap/>
            <w:vAlign w:val="bottom"/>
            <w:hideMark/>
          </w:tcPr>
          <w:p w:rsidR="006E7310" w:rsidRPr="00000C68" w:rsidRDefault="006E7310" w:rsidP="002D164C">
            <w:pPr>
              <w:spacing w:after="0" w:line="240" w:lineRule="auto"/>
              <w:jc w:val="center"/>
              <w:rPr>
                <w:rFonts w:eastAsia="Times New Roman" w:cs="Times New Roman"/>
                <w:color w:val="000000"/>
                <w:sz w:val="24"/>
                <w:szCs w:val="24"/>
                <w:lang w:eastAsia="en-AU"/>
              </w:rPr>
            </w:pPr>
            <w:r w:rsidRPr="00000C68">
              <w:rPr>
                <w:rFonts w:eastAsia="Times New Roman" w:cs="Times New Roman"/>
                <w:color w:val="000000"/>
                <w:sz w:val="24"/>
                <w:szCs w:val="24"/>
                <w:lang w:eastAsia="en-AU"/>
              </w:rPr>
              <w:t>0.05</w:t>
            </w:r>
          </w:p>
        </w:tc>
        <w:tc>
          <w:tcPr>
            <w:tcW w:w="1053" w:type="dxa"/>
            <w:tcBorders>
              <w:top w:val="nil"/>
              <w:left w:val="nil"/>
              <w:bottom w:val="nil"/>
              <w:right w:val="nil"/>
            </w:tcBorders>
            <w:shd w:val="clear" w:color="auto" w:fill="auto"/>
            <w:noWrap/>
            <w:vAlign w:val="bottom"/>
            <w:hideMark/>
          </w:tcPr>
          <w:p w:rsidR="006E7310" w:rsidRPr="00000C68" w:rsidRDefault="006E7310" w:rsidP="002D164C">
            <w:pPr>
              <w:spacing w:after="0" w:line="240" w:lineRule="auto"/>
              <w:jc w:val="center"/>
              <w:rPr>
                <w:rFonts w:eastAsia="Times New Roman" w:cs="Times New Roman"/>
                <w:color w:val="000000"/>
                <w:sz w:val="24"/>
                <w:szCs w:val="24"/>
                <w:lang w:eastAsia="en-AU"/>
              </w:rPr>
            </w:pPr>
            <w:r w:rsidRPr="00000C68">
              <w:rPr>
                <w:rFonts w:eastAsia="Times New Roman" w:cs="Times New Roman"/>
                <w:color w:val="000000"/>
                <w:sz w:val="24"/>
                <w:szCs w:val="24"/>
                <w:lang w:eastAsia="en-AU"/>
              </w:rPr>
              <w:t>0.05</w:t>
            </w:r>
          </w:p>
        </w:tc>
        <w:tc>
          <w:tcPr>
            <w:tcW w:w="1056" w:type="dxa"/>
            <w:tcBorders>
              <w:top w:val="nil"/>
              <w:left w:val="nil"/>
              <w:bottom w:val="nil"/>
              <w:right w:val="nil"/>
            </w:tcBorders>
            <w:shd w:val="clear" w:color="auto" w:fill="BFBFBF" w:themeFill="background1" w:themeFillShade="BF"/>
            <w:noWrap/>
            <w:vAlign w:val="bottom"/>
            <w:hideMark/>
          </w:tcPr>
          <w:p w:rsidR="006E7310" w:rsidRPr="00000C68" w:rsidRDefault="006E7310" w:rsidP="002D164C">
            <w:pPr>
              <w:spacing w:after="0" w:line="240" w:lineRule="auto"/>
              <w:jc w:val="center"/>
              <w:rPr>
                <w:rFonts w:eastAsia="Times New Roman" w:cs="Times New Roman"/>
                <w:color w:val="000000"/>
                <w:sz w:val="24"/>
                <w:szCs w:val="24"/>
                <w:lang w:eastAsia="en-AU"/>
              </w:rPr>
            </w:pPr>
            <w:r w:rsidRPr="00000C68">
              <w:rPr>
                <w:rFonts w:eastAsia="Times New Roman" w:cs="Times New Roman"/>
                <w:color w:val="000000"/>
                <w:sz w:val="24"/>
                <w:szCs w:val="24"/>
                <w:lang w:eastAsia="en-AU"/>
              </w:rPr>
              <w:t>0.05</w:t>
            </w:r>
          </w:p>
        </w:tc>
        <w:tc>
          <w:tcPr>
            <w:tcW w:w="1056" w:type="dxa"/>
            <w:tcBorders>
              <w:top w:val="nil"/>
              <w:left w:val="nil"/>
              <w:bottom w:val="nil"/>
              <w:right w:val="nil"/>
            </w:tcBorders>
            <w:shd w:val="clear" w:color="auto" w:fill="BFBFBF" w:themeFill="background1" w:themeFillShade="BF"/>
            <w:noWrap/>
            <w:vAlign w:val="bottom"/>
            <w:hideMark/>
          </w:tcPr>
          <w:p w:rsidR="006E7310" w:rsidRPr="00000C68" w:rsidRDefault="006E7310" w:rsidP="002D164C">
            <w:pPr>
              <w:spacing w:after="0" w:line="240" w:lineRule="auto"/>
              <w:jc w:val="center"/>
              <w:rPr>
                <w:rFonts w:eastAsia="Times New Roman" w:cs="Times New Roman"/>
                <w:color w:val="000000"/>
                <w:sz w:val="24"/>
                <w:szCs w:val="24"/>
                <w:lang w:eastAsia="en-AU"/>
              </w:rPr>
            </w:pPr>
            <w:r w:rsidRPr="00000C68">
              <w:rPr>
                <w:rFonts w:eastAsia="Times New Roman" w:cs="Times New Roman"/>
                <w:color w:val="000000"/>
                <w:sz w:val="24"/>
                <w:szCs w:val="24"/>
                <w:lang w:eastAsia="en-AU"/>
              </w:rPr>
              <w:t>0.05</w:t>
            </w:r>
          </w:p>
        </w:tc>
        <w:tc>
          <w:tcPr>
            <w:tcW w:w="1053" w:type="dxa"/>
            <w:tcBorders>
              <w:top w:val="nil"/>
              <w:left w:val="nil"/>
              <w:bottom w:val="nil"/>
              <w:right w:val="nil"/>
            </w:tcBorders>
            <w:shd w:val="clear" w:color="auto" w:fill="auto"/>
            <w:noWrap/>
            <w:vAlign w:val="bottom"/>
            <w:hideMark/>
          </w:tcPr>
          <w:p w:rsidR="006E7310" w:rsidRPr="00000C68" w:rsidRDefault="006E7310" w:rsidP="002D164C">
            <w:pPr>
              <w:spacing w:after="0" w:line="240" w:lineRule="auto"/>
              <w:jc w:val="center"/>
              <w:rPr>
                <w:rFonts w:eastAsia="Times New Roman" w:cs="Times New Roman"/>
                <w:color w:val="000000"/>
                <w:sz w:val="24"/>
                <w:szCs w:val="24"/>
                <w:lang w:eastAsia="en-AU"/>
              </w:rPr>
            </w:pPr>
            <w:r w:rsidRPr="00000C68">
              <w:rPr>
                <w:rFonts w:eastAsia="Times New Roman" w:cs="Times New Roman"/>
                <w:color w:val="000000"/>
                <w:sz w:val="24"/>
                <w:szCs w:val="24"/>
                <w:lang w:eastAsia="en-AU"/>
              </w:rPr>
              <w:t>0.05</w:t>
            </w:r>
          </w:p>
        </w:tc>
        <w:tc>
          <w:tcPr>
            <w:tcW w:w="1053" w:type="dxa"/>
            <w:tcBorders>
              <w:top w:val="nil"/>
              <w:left w:val="nil"/>
              <w:bottom w:val="nil"/>
              <w:right w:val="single" w:sz="4" w:space="0" w:color="auto"/>
            </w:tcBorders>
            <w:shd w:val="clear" w:color="auto" w:fill="auto"/>
            <w:noWrap/>
            <w:vAlign w:val="bottom"/>
            <w:hideMark/>
          </w:tcPr>
          <w:p w:rsidR="006E7310" w:rsidRPr="00000C68" w:rsidRDefault="006E7310" w:rsidP="002D164C">
            <w:pPr>
              <w:spacing w:after="0" w:line="240" w:lineRule="auto"/>
              <w:jc w:val="center"/>
              <w:rPr>
                <w:rFonts w:eastAsia="Times New Roman" w:cs="Times New Roman"/>
                <w:color w:val="000000"/>
                <w:sz w:val="24"/>
                <w:szCs w:val="24"/>
                <w:lang w:eastAsia="en-AU"/>
              </w:rPr>
            </w:pPr>
            <w:r w:rsidRPr="00000C68">
              <w:rPr>
                <w:rFonts w:eastAsia="Times New Roman" w:cs="Times New Roman"/>
                <w:color w:val="000000"/>
                <w:sz w:val="24"/>
                <w:szCs w:val="24"/>
                <w:lang w:eastAsia="en-AU"/>
              </w:rPr>
              <w:t>0.05</w:t>
            </w:r>
          </w:p>
        </w:tc>
      </w:tr>
      <w:tr w:rsidR="00000C68" w:rsidRPr="00000C68" w:rsidTr="002D164C">
        <w:trPr>
          <w:trHeight w:val="300"/>
        </w:trPr>
        <w:tc>
          <w:tcPr>
            <w:tcW w:w="3660" w:type="dxa"/>
            <w:tcBorders>
              <w:top w:val="nil"/>
              <w:left w:val="single" w:sz="4" w:space="0" w:color="auto"/>
              <w:bottom w:val="nil"/>
              <w:right w:val="nil"/>
            </w:tcBorders>
            <w:shd w:val="clear" w:color="auto" w:fill="auto"/>
            <w:noWrap/>
            <w:vAlign w:val="bottom"/>
            <w:hideMark/>
          </w:tcPr>
          <w:p w:rsidR="006E7310" w:rsidRPr="00000C68" w:rsidRDefault="006E7310" w:rsidP="002D164C">
            <w:pPr>
              <w:spacing w:after="0" w:line="240" w:lineRule="auto"/>
              <w:jc w:val="center"/>
              <w:rPr>
                <w:rFonts w:eastAsia="Times New Roman" w:cs="Times New Roman"/>
                <w:color w:val="000000"/>
                <w:sz w:val="24"/>
                <w:szCs w:val="24"/>
                <w:lang w:eastAsia="en-AU"/>
              </w:rPr>
            </w:pPr>
            <w:r w:rsidRPr="00000C68">
              <w:rPr>
                <w:rFonts w:eastAsia="Times New Roman" w:cs="Times New Roman"/>
                <w:color w:val="000000"/>
                <w:sz w:val="24"/>
                <w:szCs w:val="24"/>
                <w:lang w:eastAsia="en-AU"/>
              </w:rPr>
              <w:t>power</w:t>
            </w:r>
          </w:p>
        </w:tc>
        <w:tc>
          <w:tcPr>
            <w:tcW w:w="1053" w:type="dxa"/>
            <w:tcBorders>
              <w:top w:val="nil"/>
              <w:left w:val="nil"/>
              <w:bottom w:val="nil"/>
              <w:right w:val="nil"/>
            </w:tcBorders>
            <w:shd w:val="clear" w:color="auto" w:fill="auto"/>
            <w:noWrap/>
            <w:vAlign w:val="bottom"/>
            <w:hideMark/>
          </w:tcPr>
          <w:p w:rsidR="006E7310" w:rsidRPr="00000C68" w:rsidRDefault="006E7310" w:rsidP="002D164C">
            <w:pPr>
              <w:spacing w:after="0" w:line="240" w:lineRule="auto"/>
              <w:jc w:val="center"/>
              <w:rPr>
                <w:rFonts w:eastAsia="Times New Roman" w:cs="Times New Roman"/>
                <w:color w:val="000000"/>
                <w:sz w:val="24"/>
                <w:szCs w:val="24"/>
                <w:lang w:eastAsia="en-AU"/>
              </w:rPr>
            </w:pPr>
            <w:r w:rsidRPr="00000C68">
              <w:rPr>
                <w:rFonts w:eastAsia="Times New Roman" w:cs="Times New Roman"/>
                <w:color w:val="000000"/>
                <w:sz w:val="24"/>
                <w:szCs w:val="24"/>
                <w:lang w:eastAsia="en-AU"/>
              </w:rPr>
              <w:t>80%</w:t>
            </w:r>
          </w:p>
        </w:tc>
        <w:tc>
          <w:tcPr>
            <w:tcW w:w="1053" w:type="dxa"/>
            <w:tcBorders>
              <w:top w:val="nil"/>
              <w:left w:val="nil"/>
              <w:bottom w:val="nil"/>
              <w:right w:val="nil"/>
            </w:tcBorders>
            <w:shd w:val="clear" w:color="auto" w:fill="auto"/>
            <w:noWrap/>
            <w:vAlign w:val="bottom"/>
            <w:hideMark/>
          </w:tcPr>
          <w:p w:rsidR="006E7310" w:rsidRPr="00000C68" w:rsidRDefault="006E7310" w:rsidP="002D164C">
            <w:pPr>
              <w:spacing w:after="0" w:line="240" w:lineRule="auto"/>
              <w:jc w:val="center"/>
              <w:rPr>
                <w:rFonts w:eastAsia="Times New Roman" w:cs="Times New Roman"/>
                <w:color w:val="000000"/>
                <w:sz w:val="24"/>
                <w:szCs w:val="24"/>
                <w:lang w:eastAsia="en-AU"/>
              </w:rPr>
            </w:pPr>
            <w:r w:rsidRPr="00000C68">
              <w:rPr>
                <w:rFonts w:eastAsia="Times New Roman" w:cs="Times New Roman"/>
                <w:color w:val="000000"/>
                <w:sz w:val="24"/>
                <w:szCs w:val="24"/>
                <w:lang w:eastAsia="en-AU"/>
              </w:rPr>
              <w:t>80%</w:t>
            </w:r>
          </w:p>
        </w:tc>
        <w:tc>
          <w:tcPr>
            <w:tcW w:w="1056" w:type="dxa"/>
            <w:tcBorders>
              <w:top w:val="nil"/>
              <w:left w:val="nil"/>
              <w:bottom w:val="nil"/>
              <w:right w:val="nil"/>
            </w:tcBorders>
            <w:shd w:val="clear" w:color="auto" w:fill="BFBFBF" w:themeFill="background1" w:themeFillShade="BF"/>
            <w:noWrap/>
            <w:vAlign w:val="bottom"/>
            <w:hideMark/>
          </w:tcPr>
          <w:p w:rsidR="006E7310" w:rsidRPr="00000C68" w:rsidRDefault="006E7310" w:rsidP="002D164C">
            <w:pPr>
              <w:spacing w:after="0" w:line="240" w:lineRule="auto"/>
              <w:jc w:val="center"/>
              <w:rPr>
                <w:rFonts w:eastAsia="Times New Roman" w:cs="Times New Roman"/>
                <w:color w:val="000000"/>
                <w:sz w:val="24"/>
                <w:szCs w:val="24"/>
                <w:lang w:eastAsia="en-AU"/>
              </w:rPr>
            </w:pPr>
            <w:r w:rsidRPr="00000C68">
              <w:rPr>
                <w:rFonts w:eastAsia="Times New Roman" w:cs="Times New Roman"/>
                <w:color w:val="000000"/>
                <w:sz w:val="24"/>
                <w:szCs w:val="24"/>
                <w:lang w:eastAsia="en-AU"/>
              </w:rPr>
              <w:t>80%</w:t>
            </w:r>
          </w:p>
        </w:tc>
        <w:tc>
          <w:tcPr>
            <w:tcW w:w="1056" w:type="dxa"/>
            <w:tcBorders>
              <w:top w:val="nil"/>
              <w:left w:val="nil"/>
              <w:bottom w:val="nil"/>
              <w:right w:val="nil"/>
            </w:tcBorders>
            <w:shd w:val="clear" w:color="auto" w:fill="BFBFBF" w:themeFill="background1" w:themeFillShade="BF"/>
            <w:noWrap/>
            <w:vAlign w:val="bottom"/>
            <w:hideMark/>
          </w:tcPr>
          <w:p w:rsidR="006E7310" w:rsidRPr="00000C68" w:rsidRDefault="006E7310" w:rsidP="002D164C">
            <w:pPr>
              <w:spacing w:after="0" w:line="240" w:lineRule="auto"/>
              <w:jc w:val="center"/>
              <w:rPr>
                <w:rFonts w:eastAsia="Times New Roman" w:cs="Times New Roman"/>
                <w:color w:val="000000"/>
                <w:sz w:val="24"/>
                <w:szCs w:val="24"/>
                <w:lang w:eastAsia="en-AU"/>
              </w:rPr>
            </w:pPr>
            <w:r w:rsidRPr="00000C68">
              <w:rPr>
                <w:rFonts w:eastAsia="Times New Roman" w:cs="Times New Roman"/>
                <w:color w:val="000000"/>
                <w:sz w:val="24"/>
                <w:szCs w:val="24"/>
                <w:lang w:eastAsia="en-AU"/>
              </w:rPr>
              <w:t>80%</w:t>
            </w:r>
          </w:p>
        </w:tc>
        <w:tc>
          <w:tcPr>
            <w:tcW w:w="1053" w:type="dxa"/>
            <w:tcBorders>
              <w:top w:val="nil"/>
              <w:left w:val="nil"/>
              <w:bottom w:val="nil"/>
              <w:right w:val="nil"/>
            </w:tcBorders>
            <w:shd w:val="clear" w:color="auto" w:fill="auto"/>
            <w:noWrap/>
            <w:vAlign w:val="bottom"/>
            <w:hideMark/>
          </w:tcPr>
          <w:p w:rsidR="006E7310" w:rsidRPr="00000C68" w:rsidRDefault="006E7310" w:rsidP="002D164C">
            <w:pPr>
              <w:spacing w:after="0" w:line="240" w:lineRule="auto"/>
              <w:jc w:val="center"/>
              <w:rPr>
                <w:rFonts w:eastAsia="Times New Roman" w:cs="Times New Roman"/>
                <w:color w:val="000000"/>
                <w:sz w:val="24"/>
                <w:szCs w:val="24"/>
                <w:lang w:eastAsia="en-AU"/>
              </w:rPr>
            </w:pPr>
            <w:r w:rsidRPr="00000C68">
              <w:rPr>
                <w:rFonts w:eastAsia="Times New Roman" w:cs="Times New Roman"/>
                <w:color w:val="000000"/>
                <w:sz w:val="24"/>
                <w:szCs w:val="24"/>
                <w:lang w:eastAsia="en-AU"/>
              </w:rPr>
              <w:t>80%</w:t>
            </w:r>
          </w:p>
        </w:tc>
        <w:tc>
          <w:tcPr>
            <w:tcW w:w="1053" w:type="dxa"/>
            <w:tcBorders>
              <w:top w:val="nil"/>
              <w:left w:val="nil"/>
              <w:bottom w:val="nil"/>
              <w:right w:val="single" w:sz="4" w:space="0" w:color="auto"/>
            </w:tcBorders>
            <w:shd w:val="clear" w:color="auto" w:fill="auto"/>
            <w:noWrap/>
            <w:vAlign w:val="bottom"/>
            <w:hideMark/>
          </w:tcPr>
          <w:p w:rsidR="006E7310" w:rsidRPr="00000C68" w:rsidRDefault="006E7310" w:rsidP="002D164C">
            <w:pPr>
              <w:spacing w:after="0" w:line="240" w:lineRule="auto"/>
              <w:jc w:val="center"/>
              <w:rPr>
                <w:rFonts w:eastAsia="Times New Roman" w:cs="Times New Roman"/>
                <w:color w:val="000000"/>
                <w:sz w:val="24"/>
                <w:szCs w:val="24"/>
                <w:lang w:eastAsia="en-AU"/>
              </w:rPr>
            </w:pPr>
            <w:r w:rsidRPr="00000C68">
              <w:rPr>
                <w:rFonts w:eastAsia="Times New Roman" w:cs="Times New Roman"/>
                <w:color w:val="000000"/>
                <w:sz w:val="24"/>
                <w:szCs w:val="24"/>
                <w:lang w:eastAsia="en-AU"/>
              </w:rPr>
              <w:t>80%</w:t>
            </w:r>
          </w:p>
        </w:tc>
      </w:tr>
      <w:tr w:rsidR="00000C68" w:rsidRPr="00000C68" w:rsidTr="002D164C">
        <w:trPr>
          <w:trHeight w:val="300"/>
        </w:trPr>
        <w:tc>
          <w:tcPr>
            <w:tcW w:w="3660" w:type="dxa"/>
            <w:tcBorders>
              <w:top w:val="nil"/>
              <w:left w:val="single" w:sz="4" w:space="0" w:color="auto"/>
              <w:bottom w:val="nil"/>
              <w:right w:val="nil"/>
            </w:tcBorders>
            <w:shd w:val="clear" w:color="auto" w:fill="auto"/>
            <w:noWrap/>
            <w:vAlign w:val="bottom"/>
            <w:hideMark/>
          </w:tcPr>
          <w:p w:rsidR="006E7310" w:rsidRPr="00000C68" w:rsidRDefault="006E7310" w:rsidP="002D164C">
            <w:pPr>
              <w:spacing w:after="0" w:line="240" w:lineRule="auto"/>
              <w:rPr>
                <w:rFonts w:eastAsia="Times New Roman" w:cs="Times New Roman"/>
                <w:color w:val="000000"/>
                <w:sz w:val="24"/>
                <w:szCs w:val="24"/>
                <w:lang w:eastAsia="en-AU"/>
              </w:rPr>
            </w:pPr>
            <w:r w:rsidRPr="00000C68">
              <w:rPr>
                <w:rFonts w:eastAsia="Times New Roman" w:cs="Times New Roman"/>
                <w:color w:val="000000"/>
                <w:sz w:val="24"/>
                <w:szCs w:val="24"/>
                <w:lang w:eastAsia="en-AU"/>
              </w:rPr>
              <w:t>reduction</w:t>
            </w:r>
          </w:p>
        </w:tc>
        <w:tc>
          <w:tcPr>
            <w:tcW w:w="1053" w:type="dxa"/>
            <w:tcBorders>
              <w:top w:val="nil"/>
              <w:left w:val="nil"/>
              <w:bottom w:val="nil"/>
              <w:right w:val="nil"/>
            </w:tcBorders>
            <w:shd w:val="clear" w:color="auto" w:fill="auto"/>
            <w:noWrap/>
            <w:vAlign w:val="bottom"/>
            <w:hideMark/>
          </w:tcPr>
          <w:p w:rsidR="006E7310" w:rsidRPr="00000C68" w:rsidRDefault="006E7310" w:rsidP="002D164C">
            <w:pPr>
              <w:spacing w:after="0" w:line="240" w:lineRule="auto"/>
              <w:jc w:val="center"/>
              <w:rPr>
                <w:rFonts w:eastAsia="Times New Roman" w:cs="Times New Roman"/>
                <w:b/>
                <w:color w:val="000000"/>
                <w:sz w:val="24"/>
                <w:szCs w:val="24"/>
                <w:lang w:eastAsia="en-AU"/>
              </w:rPr>
            </w:pPr>
            <w:r w:rsidRPr="00000C68">
              <w:rPr>
                <w:rFonts w:eastAsia="Times New Roman" w:cs="Times New Roman"/>
                <w:b/>
                <w:color w:val="000000"/>
                <w:sz w:val="24"/>
                <w:szCs w:val="24"/>
                <w:lang w:eastAsia="en-AU"/>
              </w:rPr>
              <w:t>59%</w:t>
            </w:r>
          </w:p>
        </w:tc>
        <w:tc>
          <w:tcPr>
            <w:tcW w:w="1053" w:type="dxa"/>
            <w:tcBorders>
              <w:top w:val="nil"/>
              <w:left w:val="nil"/>
              <w:bottom w:val="nil"/>
              <w:right w:val="nil"/>
            </w:tcBorders>
            <w:shd w:val="clear" w:color="auto" w:fill="auto"/>
            <w:noWrap/>
            <w:vAlign w:val="bottom"/>
            <w:hideMark/>
          </w:tcPr>
          <w:p w:rsidR="006E7310" w:rsidRPr="00000C68" w:rsidRDefault="006E7310" w:rsidP="002D164C">
            <w:pPr>
              <w:spacing w:after="0" w:line="240" w:lineRule="auto"/>
              <w:jc w:val="center"/>
              <w:rPr>
                <w:rFonts w:eastAsia="Times New Roman" w:cs="Times New Roman"/>
                <w:b/>
                <w:color w:val="000000"/>
                <w:sz w:val="24"/>
                <w:szCs w:val="24"/>
                <w:lang w:eastAsia="en-AU"/>
              </w:rPr>
            </w:pPr>
            <w:r w:rsidRPr="00000C68">
              <w:rPr>
                <w:rFonts w:eastAsia="Times New Roman" w:cs="Times New Roman"/>
                <w:b/>
                <w:color w:val="000000"/>
                <w:sz w:val="24"/>
                <w:szCs w:val="24"/>
                <w:lang w:eastAsia="en-AU"/>
              </w:rPr>
              <w:t>57%</w:t>
            </w:r>
          </w:p>
        </w:tc>
        <w:tc>
          <w:tcPr>
            <w:tcW w:w="1056" w:type="dxa"/>
            <w:tcBorders>
              <w:top w:val="nil"/>
              <w:left w:val="nil"/>
              <w:bottom w:val="nil"/>
              <w:right w:val="nil"/>
            </w:tcBorders>
            <w:shd w:val="clear" w:color="auto" w:fill="BFBFBF" w:themeFill="background1" w:themeFillShade="BF"/>
            <w:noWrap/>
            <w:vAlign w:val="bottom"/>
            <w:hideMark/>
          </w:tcPr>
          <w:p w:rsidR="006E7310" w:rsidRPr="00000C68" w:rsidRDefault="006E7310" w:rsidP="002D164C">
            <w:pPr>
              <w:spacing w:after="0" w:line="240" w:lineRule="auto"/>
              <w:jc w:val="center"/>
              <w:rPr>
                <w:rFonts w:eastAsia="Times New Roman" w:cs="Times New Roman"/>
                <w:b/>
                <w:bCs/>
                <w:color w:val="000000"/>
                <w:sz w:val="24"/>
                <w:szCs w:val="24"/>
                <w:lang w:eastAsia="en-AU"/>
              </w:rPr>
            </w:pPr>
            <w:r w:rsidRPr="00000C68">
              <w:rPr>
                <w:rFonts w:eastAsia="Times New Roman" w:cs="Times New Roman"/>
                <w:b/>
                <w:bCs/>
                <w:color w:val="000000"/>
                <w:sz w:val="24"/>
                <w:szCs w:val="24"/>
                <w:lang w:eastAsia="en-AU"/>
              </w:rPr>
              <w:t>54%</w:t>
            </w:r>
          </w:p>
        </w:tc>
        <w:tc>
          <w:tcPr>
            <w:tcW w:w="1056" w:type="dxa"/>
            <w:tcBorders>
              <w:top w:val="nil"/>
              <w:left w:val="nil"/>
              <w:bottom w:val="nil"/>
              <w:right w:val="nil"/>
            </w:tcBorders>
            <w:shd w:val="clear" w:color="auto" w:fill="BFBFBF" w:themeFill="background1" w:themeFillShade="BF"/>
            <w:noWrap/>
            <w:vAlign w:val="bottom"/>
            <w:hideMark/>
          </w:tcPr>
          <w:p w:rsidR="006E7310" w:rsidRPr="00000C68" w:rsidRDefault="006E7310" w:rsidP="002D164C">
            <w:pPr>
              <w:spacing w:after="0" w:line="240" w:lineRule="auto"/>
              <w:jc w:val="center"/>
              <w:rPr>
                <w:rFonts w:eastAsia="Times New Roman" w:cs="Times New Roman"/>
                <w:b/>
                <w:bCs/>
                <w:color w:val="000000"/>
                <w:sz w:val="24"/>
                <w:szCs w:val="24"/>
                <w:lang w:eastAsia="en-AU"/>
              </w:rPr>
            </w:pPr>
            <w:r w:rsidRPr="00000C68">
              <w:rPr>
                <w:rFonts w:eastAsia="Times New Roman" w:cs="Times New Roman"/>
                <w:b/>
                <w:bCs/>
                <w:color w:val="000000"/>
                <w:sz w:val="24"/>
                <w:szCs w:val="24"/>
                <w:lang w:eastAsia="en-AU"/>
              </w:rPr>
              <w:t>52%</w:t>
            </w:r>
          </w:p>
        </w:tc>
        <w:tc>
          <w:tcPr>
            <w:tcW w:w="1053" w:type="dxa"/>
            <w:tcBorders>
              <w:top w:val="nil"/>
              <w:left w:val="nil"/>
              <w:bottom w:val="nil"/>
              <w:right w:val="nil"/>
            </w:tcBorders>
            <w:shd w:val="clear" w:color="auto" w:fill="auto"/>
            <w:noWrap/>
            <w:vAlign w:val="bottom"/>
            <w:hideMark/>
          </w:tcPr>
          <w:p w:rsidR="006E7310" w:rsidRPr="00000C68" w:rsidRDefault="006E7310" w:rsidP="002D164C">
            <w:pPr>
              <w:spacing w:after="0" w:line="240" w:lineRule="auto"/>
              <w:jc w:val="center"/>
              <w:rPr>
                <w:rFonts w:eastAsia="Times New Roman" w:cs="Times New Roman"/>
                <w:b/>
                <w:color w:val="000000"/>
                <w:sz w:val="24"/>
                <w:szCs w:val="24"/>
                <w:lang w:eastAsia="en-AU"/>
              </w:rPr>
            </w:pPr>
            <w:r w:rsidRPr="00000C68">
              <w:rPr>
                <w:rFonts w:eastAsia="Times New Roman" w:cs="Times New Roman"/>
                <w:b/>
                <w:color w:val="000000"/>
                <w:sz w:val="24"/>
                <w:szCs w:val="24"/>
                <w:lang w:eastAsia="en-AU"/>
              </w:rPr>
              <w:t>49%</w:t>
            </w:r>
          </w:p>
        </w:tc>
        <w:tc>
          <w:tcPr>
            <w:tcW w:w="1053" w:type="dxa"/>
            <w:tcBorders>
              <w:top w:val="nil"/>
              <w:left w:val="nil"/>
              <w:bottom w:val="nil"/>
              <w:right w:val="single" w:sz="4" w:space="0" w:color="auto"/>
            </w:tcBorders>
            <w:shd w:val="clear" w:color="auto" w:fill="auto"/>
            <w:noWrap/>
            <w:vAlign w:val="bottom"/>
            <w:hideMark/>
          </w:tcPr>
          <w:p w:rsidR="006E7310" w:rsidRPr="00000C68" w:rsidRDefault="006E7310" w:rsidP="002D164C">
            <w:pPr>
              <w:spacing w:after="0" w:line="240" w:lineRule="auto"/>
              <w:jc w:val="center"/>
              <w:rPr>
                <w:rFonts w:eastAsia="Times New Roman" w:cs="Times New Roman"/>
                <w:b/>
                <w:color w:val="000000"/>
                <w:sz w:val="24"/>
                <w:szCs w:val="24"/>
                <w:lang w:eastAsia="en-AU"/>
              </w:rPr>
            </w:pPr>
            <w:r w:rsidRPr="00000C68">
              <w:rPr>
                <w:rFonts w:eastAsia="Times New Roman" w:cs="Times New Roman"/>
                <w:b/>
                <w:color w:val="000000"/>
                <w:sz w:val="24"/>
                <w:szCs w:val="24"/>
                <w:lang w:eastAsia="en-AU"/>
              </w:rPr>
              <w:t>46%</w:t>
            </w:r>
          </w:p>
        </w:tc>
      </w:tr>
      <w:tr w:rsidR="00000C68" w:rsidRPr="00000C68" w:rsidTr="002D164C">
        <w:trPr>
          <w:trHeight w:val="300"/>
        </w:trPr>
        <w:tc>
          <w:tcPr>
            <w:tcW w:w="3660" w:type="dxa"/>
            <w:tcBorders>
              <w:top w:val="nil"/>
              <w:left w:val="single" w:sz="4" w:space="0" w:color="auto"/>
              <w:bottom w:val="nil"/>
              <w:right w:val="nil"/>
            </w:tcBorders>
            <w:shd w:val="clear" w:color="auto" w:fill="auto"/>
            <w:noWrap/>
            <w:vAlign w:val="bottom"/>
            <w:hideMark/>
          </w:tcPr>
          <w:p w:rsidR="006E7310" w:rsidRPr="00000C68" w:rsidRDefault="006E7310" w:rsidP="002D164C">
            <w:pPr>
              <w:spacing w:after="0" w:line="240" w:lineRule="auto"/>
              <w:rPr>
                <w:rFonts w:eastAsia="Times New Roman" w:cs="Times New Roman"/>
                <w:color w:val="000000"/>
                <w:sz w:val="24"/>
                <w:szCs w:val="24"/>
                <w:lang w:eastAsia="en-AU"/>
              </w:rPr>
            </w:pPr>
            <w:r w:rsidRPr="00000C68">
              <w:rPr>
                <w:rFonts w:eastAsia="Times New Roman" w:cs="Times New Roman"/>
                <w:color w:val="000000"/>
                <w:sz w:val="24"/>
                <w:szCs w:val="24"/>
                <w:lang w:eastAsia="en-AU"/>
              </w:rPr>
              <w:t>Control event rate</w:t>
            </w:r>
          </w:p>
        </w:tc>
        <w:tc>
          <w:tcPr>
            <w:tcW w:w="1053" w:type="dxa"/>
            <w:tcBorders>
              <w:top w:val="nil"/>
              <w:left w:val="nil"/>
              <w:bottom w:val="nil"/>
              <w:right w:val="nil"/>
            </w:tcBorders>
            <w:shd w:val="clear" w:color="auto" w:fill="auto"/>
            <w:noWrap/>
            <w:vAlign w:val="bottom"/>
            <w:hideMark/>
          </w:tcPr>
          <w:p w:rsidR="006E7310" w:rsidRPr="00000C68" w:rsidRDefault="006E7310" w:rsidP="002D164C">
            <w:pPr>
              <w:spacing w:after="0" w:line="240" w:lineRule="auto"/>
              <w:jc w:val="center"/>
              <w:rPr>
                <w:rFonts w:eastAsia="Times New Roman" w:cs="Times New Roman"/>
                <w:color w:val="000000"/>
                <w:sz w:val="24"/>
                <w:szCs w:val="24"/>
                <w:lang w:eastAsia="en-AU"/>
              </w:rPr>
            </w:pPr>
            <w:r w:rsidRPr="00000C68">
              <w:rPr>
                <w:rFonts w:eastAsia="Times New Roman" w:cs="Times New Roman"/>
                <w:color w:val="000000"/>
                <w:sz w:val="24"/>
                <w:szCs w:val="24"/>
                <w:lang w:eastAsia="en-AU"/>
              </w:rPr>
              <w:t>0.61</w:t>
            </w:r>
          </w:p>
        </w:tc>
        <w:tc>
          <w:tcPr>
            <w:tcW w:w="1053" w:type="dxa"/>
            <w:tcBorders>
              <w:top w:val="nil"/>
              <w:left w:val="nil"/>
              <w:bottom w:val="nil"/>
              <w:right w:val="nil"/>
            </w:tcBorders>
            <w:shd w:val="clear" w:color="auto" w:fill="auto"/>
            <w:noWrap/>
            <w:vAlign w:val="bottom"/>
            <w:hideMark/>
          </w:tcPr>
          <w:p w:rsidR="006E7310" w:rsidRPr="00000C68" w:rsidRDefault="006E7310" w:rsidP="002D164C">
            <w:pPr>
              <w:spacing w:after="0" w:line="240" w:lineRule="auto"/>
              <w:jc w:val="center"/>
              <w:rPr>
                <w:rFonts w:eastAsia="Times New Roman" w:cs="Times New Roman"/>
                <w:color w:val="000000"/>
                <w:sz w:val="24"/>
                <w:szCs w:val="24"/>
                <w:lang w:eastAsia="en-AU"/>
              </w:rPr>
            </w:pPr>
            <w:r w:rsidRPr="00000C68">
              <w:rPr>
                <w:rFonts w:eastAsia="Times New Roman" w:cs="Times New Roman"/>
                <w:color w:val="000000"/>
                <w:sz w:val="24"/>
                <w:szCs w:val="24"/>
                <w:lang w:eastAsia="en-AU"/>
              </w:rPr>
              <w:t>0.6</w:t>
            </w:r>
          </w:p>
        </w:tc>
        <w:tc>
          <w:tcPr>
            <w:tcW w:w="1056" w:type="dxa"/>
            <w:tcBorders>
              <w:top w:val="nil"/>
              <w:left w:val="nil"/>
              <w:bottom w:val="nil"/>
              <w:right w:val="nil"/>
            </w:tcBorders>
            <w:shd w:val="clear" w:color="auto" w:fill="BFBFBF" w:themeFill="background1" w:themeFillShade="BF"/>
            <w:noWrap/>
            <w:vAlign w:val="bottom"/>
            <w:hideMark/>
          </w:tcPr>
          <w:p w:rsidR="006E7310" w:rsidRPr="00000C68" w:rsidRDefault="006E7310" w:rsidP="002D164C">
            <w:pPr>
              <w:spacing w:after="0" w:line="240" w:lineRule="auto"/>
              <w:jc w:val="center"/>
              <w:rPr>
                <w:rFonts w:eastAsia="Times New Roman" w:cs="Times New Roman"/>
                <w:color w:val="000000"/>
                <w:sz w:val="24"/>
                <w:szCs w:val="24"/>
                <w:lang w:eastAsia="en-AU"/>
              </w:rPr>
            </w:pPr>
            <w:r w:rsidRPr="00000C68">
              <w:rPr>
                <w:rFonts w:eastAsia="Times New Roman" w:cs="Times New Roman"/>
                <w:color w:val="000000"/>
                <w:sz w:val="24"/>
                <w:szCs w:val="24"/>
                <w:lang w:eastAsia="en-AU"/>
              </w:rPr>
              <w:t>0.59</w:t>
            </w:r>
          </w:p>
        </w:tc>
        <w:tc>
          <w:tcPr>
            <w:tcW w:w="1056" w:type="dxa"/>
            <w:tcBorders>
              <w:top w:val="nil"/>
              <w:left w:val="nil"/>
              <w:bottom w:val="nil"/>
              <w:right w:val="nil"/>
            </w:tcBorders>
            <w:shd w:val="clear" w:color="auto" w:fill="BFBFBF" w:themeFill="background1" w:themeFillShade="BF"/>
            <w:noWrap/>
            <w:vAlign w:val="bottom"/>
            <w:hideMark/>
          </w:tcPr>
          <w:p w:rsidR="006E7310" w:rsidRPr="00000C68" w:rsidRDefault="006E7310" w:rsidP="002D164C">
            <w:pPr>
              <w:spacing w:after="0" w:line="240" w:lineRule="auto"/>
              <w:jc w:val="center"/>
              <w:rPr>
                <w:rFonts w:eastAsia="Times New Roman" w:cs="Times New Roman"/>
                <w:color w:val="000000"/>
                <w:sz w:val="24"/>
                <w:szCs w:val="24"/>
                <w:lang w:eastAsia="en-AU"/>
              </w:rPr>
            </w:pPr>
            <w:r w:rsidRPr="00000C68">
              <w:rPr>
                <w:rFonts w:eastAsia="Times New Roman" w:cs="Times New Roman"/>
                <w:color w:val="000000"/>
                <w:sz w:val="24"/>
                <w:szCs w:val="24"/>
                <w:lang w:eastAsia="en-AU"/>
              </w:rPr>
              <w:t>0.58</w:t>
            </w:r>
          </w:p>
        </w:tc>
        <w:tc>
          <w:tcPr>
            <w:tcW w:w="1053" w:type="dxa"/>
            <w:tcBorders>
              <w:top w:val="nil"/>
              <w:left w:val="nil"/>
              <w:bottom w:val="nil"/>
              <w:right w:val="nil"/>
            </w:tcBorders>
            <w:shd w:val="clear" w:color="auto" w:fill="auto"/>
            <w:noWrap/>
            <w:vAlign w:val="bottom"/>
            <w:hideMark/>
          </w:tcPr>
          <w:p w:rsidR="006E7310" w:rsidRPr="00000C68" w:rsidRDefault="006E7310" w:rsidP="002D164C">
            <w:pPr>
              <w:spacing w:after="0" w:line="240" w:lineRule="auto"/>
              <w:jc w:val="center"/>
              <w:rPr>
                <w:rFonts w:eastAsia="Times New Roman" w:cs="Times New Roman"/>
                <w:color w:val="000000"/>
                <w:sz w:val="24"/>
                <w:szCs w:val="24"/>
                <w:lang w:eastAsia="en-AU"/>
              </w:rPr>
            </w:pPr>
            <w:r w:rsidRPr="00000C68">
              <w:rPr>
                <w:rFonts w:eastAsia="Times New Roman" w:cs="Times New Roman"/>
                <w:color w:val="000000"/>
                <w:sz w:val="24"/>
                <w:szCs w:val="24"/>
                <w:lang w:eastAsia="en-AU"/>
              </w:rPr>
              <w:t>0.57</w:t>
            </w:r>
          </w:p>
        </w:tc>
        <w:tc>
          <w:tcPr>
            <w:tcW w:w="1053" w:type="dxa"/>
            <w:tcBorders>
              <w:top w:val="nil"/>
              <w:left w:val="nil"/>
              <w:bottom w:val="nil"/>
              <w:right w:val="single" w:sz="4" w:space="0" w:color="auto"/>
            </w:tcBorders>
            <w:shd w:val="clear" w:color="auto" w:fill="auto"/>
            <w:noWrap/>
            <w:vAlign w:val="bottom"/>
            <w:hideMark/>
          </w:tcPr>
          <w:p w:rsidR="006E7310" w:rsidRPr="00000C68" w:rsidRDefault="006E7310" w:rsidP="002D164C">
            <w:pPr>
              <w:spacing w:after="0" w:line="240" w:lineRule="auto"/>
              <w:jc w:val="center"/>
              <w:rPr>
                <w:rFonts w:eastAsia="Times New Roman" w:cs="Times New Roman"/>
                <w:color w:val="000000"/>
                <w:sz w:val="24"/>
                <w:szCs w:val="24"/>
                <w:lang w:eastAsia="en-AU"/>
              </w:rPr>
            </w:pPr>
            <w:r w:rsidRPr="00000C68">
              <w:rPr>
                <w:rFonts w:eastAsia="Times New Roman" w:cs="Times New Roman"/>
                <w:color w:val="000000"/>
                <w:sz w:val="24"/>
                <w:szCs w:val="24"/>
                <w:lang w:eastAsia="en-AU"/>
              </w:rPr>
              <w:t>0.56</w:t>
            </w:r>
          </w:p>
        </w:tc>
      </w:tr>
      <w:tr w:rsidR="00000C68" w:rsidRPr="00000C68" w:rsidTr="002D164C">
        <w:trPr>
          <w:trHeight w:val="300"/>
        </w:trPr>
        <w:tc>
          <w:tcPr>
            <w:tcW w:w="3660" w:type="dxa"/>
            <w:tcBorders>
              <w:top w:val="nil"/>
              <w:left w:val="single" w:sz="4" w:space="0" w:color="auto"/>
              <w:bottom w:val="nil"/>
              <w:right w:val="nil"/>
            </w:tcBorders>
            <w:shd w:val="clear" w:color="auto" w:fill="auto"/>
            <w:noWrap/>
            <w:vAlign w:val="bottom"/>
            <w:hideMark/>
          </w:tcPr>
          <w:p w:rsidR="006E7310" w:rsidRPr="00000C68" w:rsidRDefault="006E7310" w:rsidP="002D164C">
            <w:pPr>
              <w:spacing w:after="0" w:line="240" w:lineRule="auto"/>
              <w:rPr>
                <w:rFonts w:eastAsia="Times New Roman" w:cs="Times New Roman"/>
                <w:color w:val="000000"/>
                <w:sz w:val="24"/>
                <w:szCs w:val="24"/>
                <w:lang w:eastAsia="en-AU"/>
              </w:rPr>
            </w:pPr>
            <w:r w:rsidRPr="00000C68">
              <w:rPr>
                <w:rFonts w:eastAsia="Times New Roman" w:cs="Times New Roman"/>
                <w:color w:val="000000"/>
                <w:sz w:val="24"/>
                <w:szCs w:val="24"/>
                <w:lang w:eastAsia="en-AU"/>
              </w:rPr>
              <w:t>Intervention event rate</w:t>
            </w:r>
          </w:p>
        </w:tc>
        <w:tc>
          <w:tcPr>
            <w:tcW w:w="1053" w:type="dxa"/>
            <w:tcBorders>
              <w:top w:val="nil"/>
              <w:left w:val="nil"/>
              <w:bottom w:val="nil"/>
              <w:right w:val="nil"/>
            </w:tcBorders>
            <w:shd w:val="clear" w:color="auto" w:fill="auto"/>
            <w:noWrap/>
            <w:vAlign w:val="bottom"/>
            <w:hideMark/>
          </w:tcPr>
          <w:p w:rsidR="006E7310" w:rsidRPr="00000C68" w:rsidRDefault="006E7310" w:rsidP="002D164C">
            <w:pPr>
              <w:spacing w:after="0" w:line="240" w:lineRule="auto"/>
              <w:jc w:val="center"/>
              <w:rPr>
                <w:rFonts w:eastAsia="Times New Roman" w:cs="Times New Roman"/>
                <w:color w:val="000000"/>
                <w:sz w:val="24"/>
                <w:szCs w:val="24"/>
                <w:lang w:eastAsia="en-AU"/>
              </w:rPr>
            </w:pPr>
            <w:r w:rsidRPr="00000C68">
              <w:rPr>
                <w:rFonts w:eastAsia="Times New Roman" w:cs="Times New Roman"/>
                <w:color w:val="000000"/>
                <w:sz w:val="24"/>
                <w:szCs w:val="24"/>
                <w:lang w:eastAsia="en-AU"/>
              </w:rPr>
              <w:t>0.25</w:t>
            </w:r>
          </w:p>
        </w:tc>
        <w:tc>
          <w:tcPr>
            <w:tcW w:w="1053" w:type="dxa"/>
            <w:tcBorders>
              <w:top w:val="nil"/>
              <w:left w:val="nil"/>
              <w:bottom w:val="nil"/>
              <w:right w:val="nil"/>
            </w:tcBorders>
            <w:shd w:val="clear" w:color="auto" w:fill="auto"/>
            <w:noWrap/>
            <w:vAlign w:val="bottom"/>
            <w:hideMark/>
          </w:tcPr>
          <w:p w:rsidR="006E7310" w:rsidRPr="00000C68" w:rsidRDefault="006E7310" w:rsidP="002D164C">
            <w:pPr>
              <w:spacing w:after="0" w:line="240" w:lineRule="auto"/>
              <w:jc w:val="center"/>
              <w:rPr>
                <w:rFonts w:eastAsia="Times New Roman" w:cs="Times New Roman"/>
                <w:color w:val="000000"/>
                <w:sz w:val="24"/>
                <w:szCs w:val="24"/>
                <w:lang w:eastAsia="en-AU"/>
              </w:rPr>
            </w:pPr>
            <w:r w:rsidRPr="00000C68">
              <w:rPr>
                <w:rFonts w:eastAsia="Times New Roman" w:cs="Times New Roman"/>
                <w:color w:val="000000"/>
                <w:sz w:val="24"/>
                <w:szCs w:val="24"/>
                <w:lang w:eastAsia="en-AU"/>
              </w:rPr>
              <w:t>0.26</w:t>
            </w:r>
          </w:p>
        </w:tc>
        <w:tc>
          <w:tcPr>
            <w:tcW w:w="1056" w:type="dxa"/>
            <w:tcBorders>
              <w:top w:val="nil"/>
              <w:left w:val="nil"/>
              <w:bottom w:val="nil"/>
              <w:right w:val="nil"/>
            </w:tcBorders>
            <w:shd w:val="clear" w:color="auto" w:fill="BFBFBF" w:themeFill="background1" w:themeFillShade="BF"/>
            <w:noWrap/>
            <w:vAlign w:val="bottom"/>
            <w:hideMark/>
          </w:tcPr>
          <w:p w:rsidR="006E7310" w:rsidRPr="00000C68" w:rsidRDefault="006E7310" w:rsidP="002D164C">
            <w:pPr>
              <w:spacing w:after="0" w:line="240" w:lineRule="auto"/>
              <w:jc w:val="center"/>
              <w:rPr>
                <w:rFonts w:eastAsia="Times New Roman" w:cs="Times New Roman"/>
                <w:color w:val="000000"/>
                <w:sz w:val="24"/>
                <w:szCs w:val="24"/>
                <w:lang w:eastAsia="en-AU"/>
              </w:rPr>
            </w:pPr>
            <w:r w:rsidRPr="00000C68">
              <w:rPr>
                <w:rFonts w:eastAsia="Times New Roman" w:cs="Times New Roman"/>
                <w:color w:val="000000"/>
                <w:sz w:val="24"/>
                <w:szCs w:val="24"/>
                <w:lang w:eastAsia="en-AU"/>
              </w:rPr>
              <w:t>0.27</w:t>
            </w:r>
          </w:p>
        </w:tc>
        <w:tc>
          <w:tcPr>
            <w:tcW w:w="1056" w:type="dxa"/>
            <w:tcBorders>
              <w:top w:val="nil"/>
              <w:left w:val="nil"/>
              <w:bottom w:val="nil"/>
              <w:right w:val="nil"/>
            </w:tcBorders>
            <w:shd w:val="clear" w:color="auto" w:fill="BFBFBF" w:themeFill="background1" w:themeFillShade="BF"/>
            <w:noWrap/>
            <w:vAlign w:val="bottom"/>
            <w:hideMark/>
          </w:tcPr>
          <w:p w:rsidR="006E7310" w:rsidRPr="00000C68" w:rsidRDefault="006E7310" w:rsidP="002D164C">
            <w:pPr>
              <w:spacing w:after="0" w:line="240" w:lineRule="auto"/>
              <w:jc w:val="center"/>
              <w:rPr>
                <w:rFonts w:eastAsia="Times New Roman" w:cs="Times New Roman"/>
                <w:color w:val="000000"/>
                <w:sz w:val="24"/>
                <w:szCs w:val="24"/>
                <w:lang w:eastAsia="en-AU"/>
              </w:rPr>
            </w:pPr>
            <w:r w:rsidRPr="00000C68">
              <w:rPr>
                <w:rFonts w:eastAsia="Times New Roman" w:cs="Times New Roman"/>
                <w:color w:val="000000"/>
                <w:sz w:val="24"/>
                <w:szCs w:val="24"/>
                <w:lang w:eastAsia="en-AU"/>
              </w:rPr>
              <w:t>0.28</w:t>
            </w:r>
          </w:p>
        </w:tc>
        <w:tc>
          <w:tcPr>
            <w:tcW w:w="1053" w:type="dxa"/>
            <w:tcBorders>
              <w:top w:val="nil"/>
              <w:left w:val="nil"/>
              <w:bottom w:val="nil"/>
              <w:right w:val="nil"/>
            </w:tcBorders>
            <w:shd w:val="clear" w:color="auto" w:fill="auto"/>
            <w:noWrap/>
            <w:vAlign w:val="bottom"/>
            <w:hideMark/>
          </w:tcPr>
          <w:p w:rsidR="006E7310" w:rsidRPr="00000C68" w:rsidRDefault="006E7310" w:rsidP="002D164C">
            <w:pPr>
              <w:spacing w:after="0" w:line="240" w:lineRule="auto"/>
              <w:jc w:val="center"/>
              <w:rPr>
                <w:rFonts w:eastAsia="Times New Roman" w:cs="Times New Roman"/>
                <w:color w:val="000000"/>
                <w:sz w:val="24"/>
                <w:szCs w:val="24"/>
                <w:lang w:eastAsia="en-AU"/>
              </w:rPr>
            </w:pPr>
            <w:r w:rsidRPr="00000C68">
              <w:rPr>
                <w:rFonts w:eastAsia="Times New Roman" w:cs="Times New Roman"/>
                <w:color w:val="000000"/>
                <w:sz w:val="24"/>
                <w:szCs w:val="24"/>
                <w:lang w:eastAsia="en-AU"/>
              </w:rPr>
              <w:t>0.29</w:t>
            </w:r>
          </w:p>
        </w:tc>
        <w:tc>
          <w:tcPr>
            <w:tcW w:w="1053" w:type="dxa"/>
            <w:tcBorders>
              <w:top w:val="nil"/>
              <w:left w:val="nil"/>
              <w:bottom w:val="nil"/>
              <w:right w:val="single" w:sz="4" w:space="0" w:color="auto"/>
            </w:tcBorders>
            <w:shd w:val="clear" w:color="auto" w:fill="auto"/>
            <w:noWrap/>
            <w:vAlign w:val="bottom"/>
            <w:hideMark/>
          </w:tcPr>
          <w:p w:rsidR="006E7310" w:rsidRPr="00000C68" w:rsidRDefault="006E7310" w:rsidP="002D164C">
            <w:pPr>
              <w:spacing w:after="0" w:line="240" w:lineRule="auto"/>
              <w:jc w:val="center"/>
              <w:rPr>
                <w:rFonts w:eastAsia="Times New Roman" w:cs="Times New Roman"/>
                <w:color w:val="000000"/>
                <w:sz w:val="24"/>
                <w:szCs w:val="24"/>
                <w:lang w:eastAsia="en-AU"/>
              </w:rPr>
            </w:pPr>
            <w:r w:rsidRPr="00000C68">
              <w:rPr>
                <w:rFonts w:eastAsia="Times New Roman" w:cs="Times New Roman"/>
                <w:color w:val="000000"/>
                <w:sz w:val="24"/>
                <w:szCs w:val="24"/>
                <w:lang w:eastAsia="en-AU"/>
              </w:rPr>
              <w:t>0.3</w:t>
            </w:r>
          </w:p>
        </w:tc>
      </w:tr>
      <w:tr w:rsidR="00000C68" w:rsidRPr="00000C68" w:rsidTr="0003017C">
        <w:trPr>
          <w:trHeight w:val="300"/>
        </w:trPr>
        <w:tc>
          <w:tcPr>
            <w:tcW w:w="3660" w:type="dxa"/>
            <w:tcBorders>
              <w:top w:val="nil"/>
              <w:left w:val="single" w:sz="4" w:space="0" w:color="auto"/>
              <w:right w:val="nil"/>
            </w:tcBorders>
            <w:shd w:val="clear" w:color="auto" w:fill="auto"/>
            <w:noWrap/>
            <w:vAlign w:val="bottom"/>
            <w:hideMark/>
          </w:tcPr>
          <w:p w:rsidR="006E7310" w:rsidRPr="00000C68" w:rsidRDefault="006E7310" w:rsidP="002D164C">
            <w:pPr>
              <w:spacing w:after="0" w:line="240" w:lineRule="auto"/>
              <w:rPr>
                <w:rFonts w:eastAsia="Times New Roman" w:cs="Times New Roman"/>
                <w:color w:val="000000"/>
                <w:sz w:val="24"/>
                <w:szCs w:val="24"/>
                <w:lang w:eastAsia="en-AU"/>
              </w:rPr>
            </w:pPr>
            <w:r w:rsidRPr="00000C68">
              <w:rPr>
                <w:rFonts w:eastAsia="Times New Roman" w:cs="Times New Roman"/>
                <w:color w:val="000000"/>
                <w:sz w:val="24"/>
                <w:szCs w:val="24"/>
                <w:lang w:eastAsia="en-AU"/>
              </w:rPr>
              <w:t> </w:t>
            </w:r>
          </w:p>
        </w:tc>
        <w:tc>
          <w:tcPr>
            <w:tcW w:w="1053" w:type="dxa"/>
            <w:tcBorders>
              <w:top w:val="nil"/>
              <w:left w:val="nil"/>
              <w:right w:val="nil"/>
            </w:tcBorders>
            <w:shd w:val="clear" w:color="auto" w:fill="auto"/>
            <w:noWrap/>
            <w:vAlign w:val="bottom"/>
            <w:hideMark/>
          </w:tcPr>
          <w:p w:rsidR="006E7310" w:rsidRPr="00000C68" w:rsidRDefault="006E7310" w:rsidP="002D164C">
            <w:pPr>
              <w:spacing w:after="0" w:line="240" w:lineRule="auto"/>
              <w:jc w:val="center"/>
              <w:rPr>
                <w:rFonts w:eastAsia="Times New Roman" w:cs="Times New Roman"/>
                <w:color w:val="000000"/>
                <w:sz w:val="24"/>
                <w:szCs w:val="24"/>
                <w:lang w:eastAsia="en-AU"/>
              </w:rPr>
            </w:pPr>
          </w:p>
        </w:tc>
        <w:tc>
          <w:tcPr>
            <w:tcW w:w="1053" w:type="dxa"/>
            <w:tcBorders>
              <w:top w:val="nil"/>
              <w:left w:val="nil"/>
              <w:right w:val="nil"/>
            </w:tcBorders>
            <w:shd w:val="clear" w:color="auto" w:fill="auto"/>
            <w:noWrap/>
            <w:vAlign w:val="bottom"/>
            <w:hideMark/>
          </w:tcPr>
          <w:p w:rsidR="006E7310" w:rsidRPr="00000C68" w:rsidRDefault="006E7310" w:rsidP="002D164C">
            <w:pPr>
              <w:spacing w:after="0" w:line="240" w:lineRule="auto"/>
              <w:jc w:val="center"/>
              <w:rPr>
                <w:rFonts w:eastAsia="Times New Roman" w:cs="Times New Roman"/>
                <w:color w:val="000000"/>
                <w:sz w:val="24"/>
                <w:szCs w:val="24"/>
                <w:lang w:eastAsia="en-AU"/>
              </w:rPr>
            </w:pPr>
          </w:p>
        </w:tc>
        <w:tc>
          <w:tcPr>
            <w:tcW w:w="1056" w:type="dxa"/>
            <w:tcBorders>
              <w:top w:val="nil"/>
              <w:left w:val="nil"/>
              <w:right w:val="nil"/>
            </w:tcBorders>
            <w:shd w:val="clear" w:color="auto" w:fill="BFBFBF" w:themeFill="background1" w:themeFillShade="BF"/>
            <w:noWrap/>
            <w:vAlign w:val="bottom"/>
            <w:hideMark/>
          </w:tcPr>
          <w:p w:rsidR="006E7310" w:rsidRPr="00000C68" w:rsidRDefault="006E7310" w:rsidP="002D164C">
            <w:pPr>
              <w:spacing w:after="0" w:line="240" w:lineRule="auto"/>
              <w:jc w:val="center"/>
              <w:rPr>
                <w:rFonts w:eastAsia="Times New Roman" w:cs="Times New Roman"/>
                <w:color w:val="000000"/>
                <w:sz w:val="24"/>
                <w:szCs w:val="24"/>
                <w:lang w:eastAsia="en-AU"/>
              </w:rPr>
            </w:pPr>
          </w:p>
        </w:tc>
        <w:tc>
          <w:tcPr>
            <w:tcW w:w="1056" w:type="dxa"/>
            <w:tcBorders>
              <w:top w:val="nil"/>
              <w:left w:val="nil"/>
              <w:right w:val="nil"/>
            </w:tcBorders>
            <w:shd w:val="clear" w:color="auto" w:fill="BFBFBF" w:themeFill="background1" w:themeFillShade="BF"/>
            <w:noWrap/>
            <w:vAlign w:val="bottom"/>
            <w:hideMark/>
          </w:tcPr>
          <w:p w:rsidR="006E7310" w:rsidRPr="00000C68" w:rsidRDefault="006E7310" w:rsidP="002D164C">
            <w:pPr>
              <w:spacing w:after="0" w:line="240" w:lineRule="auto"/>
              <w:jc w:val="center"/>
              <w:rPr>
                <w:rFonts w:eastAsia="Times New Roman" w:cs="Times New Roman"/>
                <w:color w:val="000000"/>
                <w:sz w:val="24"/>
                <w:szCs w:val="24"/>
                <w:lang w:eastAsia="en-AU"/>
              </w:rPr>
            </w:pPr>
          </w:p>
        </w:tc>
        <w:tc>
          <w:tcPr>
            <w:tcW w:w="1053" w:type="dxa"/>
            <w:tcBorders>
              <w:top w:val="nil"/>
              <w:left w:val="nil"/>
              <w:right w:val="nil"/>
            </w:tcBorders>
            <w:shd w:val="clear" w:color="auto" w:fill="auto"/>
            <w:noWrap/>
            <w:vAlign w:val="bottom"/>
            <w:hideMark/>
          </w:tcPr>
          <w:p w:rsidR="006E7310" w:rsidRPr="00000C68" w:rsidRDefault="006E7310" w:rsidP="002D164C">
            <w:pPr>
              <w:spacing w:after="0" w:line="240" w:lineRule="auto"/>
              <w:jc w:val="center"/>
              <w:rPr>
                <w:rFonts w:eastAsia="Times New Roman" w:cs="Times New Roman"/>
                <w:color w:val="000000"/>
                <w:sz w:val="24"/>
                <w:szCs w:val="24"/>
                <w:lang w:eastAsia="en-AU"/>
              </w:rPr>
            </w:pPr>
          </w:p>
        </w:tc>
        <w:tc>
          <w:tcPr>
            <w:tcW w:w="1053" w:type="dxa"/>
            <w:tcBorders>
              <w:top w:val="nil"/>
              <w:left w:val="nil"/>
              <w:right w:val="single" w:sz="4" w:space="0" w:color="auto"/>
            </w:tcBorders>
            <w:shd w:val="clear" w:color="auto" w:fill="auto"/>
            <w:noWrap/>
            <w:vAlign w:val="bottom"/>
            <w:hideMark/>
          </w:tcPr>
          <w:p w:rsidR="006E7310" w:rsidRPr="00000C68" w:rsidRDefault="006E7310" w:rsidP="002D164C">
            <w:pPr>
              <w:spacing w:after="0" w:line="240" w:lineRule="auto"/>
              <w:jc w:val="center"/>
              <w:rPr>
                <w:rFonts w:eastAsia="Times New Roman" w:cs="Times New Roman"/>
                <w:color w:val="000000"/>
                <w:sz w:val="24"/>
                <w:szCs w:val="24"/>
                <w:lang w:eastAsia="en-AU"/>
              </w:rPr>
            </w:pPr>
          </w:p>
        </w:tc>
      </w:tr>
      <w:tr w:rsidR="00000C68" w:rsidRPr="00000C68" w:rsidTr="0003017C">
        <w:trPr>
          <w:trHeight w:val="300"/>
        </w:trPr>
        <w:tc>
          <w:tcPr>
            <w:tcW w:w="3660" w:type="dxa"/>
            <w:tcBorders>
              <w:top w:val="nil"/>
              <w:left w:val="single" w:sz="4" w:space="0" w:color="auto"/>
              <w:bottom w:val="single" w:sz="4" w:space="0" w:color="auto"/>
              <w:right w:val="nil"/>
            </w:tcBorders>
            <w:shd w:val="clear" w:color="auto" w:fill="auto"/>
            <w:noWrap/>
            <w:vAlign w:val="bottom"/>
            <w:hideMark/>
          </w:tcPr>
          <w:p w:rsidR="006E7310" w:rsidRPr="00000C68" w:rsidRDefault="006E7310" w:rsidP="002D164C">
            <w:pPr>
              <w:spacing w:after="0" w:line="240" w:lineRule="auto"/>
              <w:rPr>
                <w:rFonts w:eastAsia="Times New Roman" w:cs="Times New Roman"/>
                <w:color w:val="000000"/>
                <w:sz w:val="24"/>
                <w:szCs w:val="24"/>
                <w:lang w:eastAsia="en-AU"/>
              </w:rPr>
            </w:pPr>
            <w:r w:rsidRPr="00000C68">
              <w:rPr>
                <w:rFonts w:eastAsia="Times New Roman" w:cs="Times New Roman"/>
                <w:color w:val="000000"/>
                <w:sz w:val="24"/>
                <w:szCs w:val="24"/>
                <w:lang w:eastAsia="en-AU"/>
              </w:rPr>
              <w:t>n</w:t>
            </w:r>
          </w:p>
        </w:tc>
        <w:tc>
          <w:tcPr>
            <w:tcW w:w="1053" w:type="dxa"/>
            <w:tcBorders>
              <w:top w:val="nil"/>
              <w:left w:val="nil"/>
              <w:bottom w:val="single" w:sz="4" w:space="0" w:color="auto"/>
              <w:right w:val="nil"/>
            </w:tcBorders>
            <w:shd w:val="clear" w:color="auto" w:fill="auto"/>
            <w:noWrap/>
            <w:vAlign w:val="bottom"/>
            <w:hideMark/>
          </w:tcPr>
          <w:p w:rsidR="006E7310" w:rsidRPr="00000C68" w:rsidRDefault="006E7310" w:rsidP="002D164C">
            <w:pPr>
              <w:spacing w:after="0" w:line="240" w:lineRule="auto"/>
              <w:jc w:val="center"/>
              <w:rPr>
                <w:rFonts w:eastAsia="Times New Roman" w:cs="Times New Roman"/>
                <w:b/>
                <w:color w:val="000000"/>
                <w:sz w:val="24"/>
                <w:szCs w:val="24"/>
                <w:lang w:eastAsia="en-AU"/>
              </w:rPr>
            </w:pPr>
            <w:r w:rsidRPr="00000C68">
              <w:rPr>
                <w:rFonts w:eastAsia="Times New Roman" w:cs="Times New Roman"/>
                <w:b/>
                <w:color w:val="000000"/>
                <w:sz w:val="24"/>
                <w:szCs w:val="24"/>
                <w:lang w:eastAsia="en-AU"/>
              </w:rPr>
              <w:t>57.6</w:t>
            </w:r>
          </w:p>
        </w:tc>
        <w:tc>
          <w:tcPr>
            <w:tcW w:w="1053" w:type="dxa"/>
            <w:tcBorders>
              <w:top w:val="nil"/>
              <w:left w:val="nil"/>
              <w:bottom w:val="single" w:sz="4" w:space="0" w:color="auto"/>
              <w:right w:val="nil"/>
            </w:tcBorders>
            <w:shd w:val="clear" w:color="auto" w:fill="auto"/>
            <w:noWrap/>
            <w:vAlign w:val="bottom"/>
            <w:hideMark/>
          </w:tcPr>
          <w:p w:rsidR="006E7310" w:rsidRPr="00000C68" w:rsidRDefault="006E7310" w:rsidP="002D164C">
            <w:pPr>
              <w:spacing w:after="0" w:line="240" w:lineRule="auto"/>
              <w:jc w:val="center"/>
              <w:rPr>
                <w:rFonts w:eastAsia="Times New Roman" w:cs="Times New Roman"/>
                <w:b/>
                <w:color w:val="000000"/>
                <w:sz w:val="24"/>
                <w:szCs w:val="24"/>
                <w:lang w:eastAsia="en-AU"/>
              </w:rPr>
            </w:pPr>
            <w:r w:rsidRPr="00000C68">
              <w:rPr>
                <w:rFonts w:eastAsia="Times New Roman" w:cs="Times New Roman"/>
                <w:b/>
                <w:color w:val="000000"/>
                <w:sz w:val="24"/>
                <w:szCs w:val="24"/>
                <w:lang w:eastAsia="en-AU"/>
              </w:rPr>
              <w:t>64.1</w:t>
            </w:r>
          </w:p>
        </w:tc>
        <w:tc>
          <w:tcPr>
            <w:tcW w:w="1056" w:type="dxa"/>
            <w:tcBorders>
              <w:top w:val="nil"/>
              <w:left w:val="nil"/>
              <w:bottom w:val="single" w:sz="4" w:space="0" w:color="auto"/>
              <w:right w:val="nil"/>
            </w:tcBorders>
            <w:shd w:val="clear" w:color="auto" w:fill="BFBFBF" w:themeFill="background1" w:themeFillShade="BF"/>
            <w:noWrap/>
            <w:vAlign w:val="bottom"/>
            <w:hideMark/>
          </w:tcPr>
          <w:p w:rsidR="006E7310" w:rsidRPr="00000C68" w:rsidRDefault="006E7310" w:rsidP="002D164C">
            <w:pPr>
              <w:spacing w:after="0" w:line="240" w:lineRule="auto"/>
              <w:jc w:val="center"/>
              <w:rPr>
                <w:rFonts w:eastAsia="Times New Roman" w:cs="Times New Roman"/>
                <w:b/>
                <w:bCs/>
                <w:color w:val="000000"/>
                <w:sz w:val="24"/>
                <w:szCs w:val="24"/>
                <w:lang w:eastAsia="en-AU"/>
              </w:rPr>
            </w:pPr>
            <w:r w:rsidRPr="00000C68">
              <w:rPr>
                <w:rFonts w:eastAsia="Times New Roman" w:cs="Times New Roman"/>
                <w:b/>
                <w:bCs/>
                <w:color w:val="000000"/>
                <w:sz w:val="24"/>
                <w:szCs w:val="24"/>
                <w:lang w:eastAsia="en-AU"/>
              </w:rPr>
              <w:t>71.9</w:t>
            </w:r>
          </w:p>
        </w:tc>
        <w:tc>
          <w:tcPr>
            <w:tcW w:w="1056" w:type="dxa"/>
            <w:tcBorders>
              <w:top w:val="nil"/>
              <w:left w:val="nil"/>
              <w:bottom w:val="single" w:sz="4" w:space="0" w:color="auto"/>
              <w:right w:val="nil"/>
            </w:tcBorders>
            <w:shd w:val="clear" w:color="auto" w:fill="BFBFBF" w:themeFill="background1" w:themeFillShade="BF"/>
            <w:noWrap/>
            <w:vAlign w:val="bottom"/>
            <w:hideMark/>
          </w:tcPr>
          <w:p w:rsidR="006E7310" w:rsidRPr="00000C68" w:rsidRDefault="006E7310" w:rsidP="002D164C">
            <w:pPr>
              <w:spacing w:after="0" w:line="240" w:lineRule="auto"/>
              <w:jc w:val="center"/>
              <w:rPr>
                <w:rFonts w:eastAsia="Times New Roman" w:cs="Times New Roman"/>
                <w:b/>
                <w:bCs/>
                <w:color w:val="000000"/>
                <w:sz w:val="24"/>
                <w:szCs w:val="24"/>
                <w:lang w:eastAsia="en-AU"/>
              </w:rPr>
            </w:pPr>
            <w:r w:rsidRPr="00000C68">
              <w:rPr>
                <w:rFonts w:eastAsia="Times New Roman" w:cs="Times New Roman"/>
                <w:b/>
                <w:bCs/>
                <w:color w:val="000000"/>
                <w:sz w:val="24"/>
                <w:szCs w:val="24"/>
                <w:lang w:eastAsia="en-AU"/>
              </w:rPr>
              <w:t>81.4</w:t>
            </w:r>
          </w:p>
        </w:tc>
        <w:tc>
          <w:tcPr>
            <w:tcW w:w="1053" w:type="dxa"/>
            <w:tcBorders>
              <w:top w:val="nil"/>
              <w:left w:val="nil"/>
              <w:bottom w:val="single" w:sz="4" w:space="0" w:color="auto"/>
              <w:right w:val="nil"/>
            </w:tcBorders>
            <w:shd w:val="clear" w:color="auto" w:fill="auto"/>
            <w:noWrap/>
            <w:vAlign w:val="bottom"/>
            <w:hideMark/>
          </w:tcPr>
          <w:p w:rsidR="006E7310" w:rsidRPr="00000C68" w:rsidRDefault="006E7310" w:rsidP="002D164C">
            <w:pPr>
              <w:spacing w:after="0" w:line="240" w:lineRule="auto"/>
              <w:jc w:val="center"/>
              <w:rPr>
                <w:rFonts w:eastAsia="Times New Roman" w:cs="Times New Roman"/>
                <w:b/>
                <w:color w:val="000000"/>
                <w:sz w:val="24"/>
                <w:szCs w:val="24"/>
                <w:lang w:eastAsia="en-AU"/>
              </w:rPr>
            </w:pPr>
            <w:r w:rsidRPr="00000C68">
              <w:rPr>
                <w:rFonts w:eastAsia="Times New Roman" w:cs="Times New Roman"/>
                <w:b/>
                <w:color w:val="000000"/>
                <w:sz w:val="24"/>
                <w:szCs w:val="24"/>
                <w:lang w:eastAsia="en-AU"/>
              </w:rPr>
              <w:t>92.9</w:t>
            </w:r>
          </w:p>
        </w:tc>
        <w:tc>
          <w:tcPr>
            <w:tcW w:w="1053" w:type="dxa"/>
            <w:tcBorders>
              <w:top w:val="nil"/>
              <w:left w:val="nil"/>
              <w:bottom w:val="single" w:sz="4" w:space="0" w:color="auto"/>
              <w:right w:val="single" w:sz="4" w:space="0" w:color="auto"/>
            </w:tcBorders>
            <w:shd w:val="clear" w:color="auto" w:fill="auto"/>
            <w:noWrap/>
            <w:vAlign w:val="bottom"/>
            <w:hideMark/>
          </w:tcPr>
          <w:p w:rsidR="006E7310" w:rsidRPr="00000C68" w:rsidRDefault="006E7310" w:rsidP="002D164C">
            <w:pPr>
              <w:spacing w:after="0" w:line="240" w:lineRule="auto"/>
              <w:jc w:val="center"/>
              <w:rPr>
                <w:rFonts w:eastAsia="Times New Roman" w:cs="Times New Roman"/>
                <w:b/>
                <w:color w:val="000000"/>
                <w:sz w:val="24"/>
                <w:szCs w:val="24"/>
                <w:lang w:eastAsia="en-AU"/>
              </w:rPr>
            </w:pPr>
            <w:r w:rsidRPr="00000C68">
              <w:rPr>
                <w:rFonts w:eastAsia="Times New Roman" w:cs="Times New Roman"/>
                <w:b/>
                <w:color w:val="000000"/>
                <w:sz w:val="24"/>
                <w:szCs w:val="24"/>
                <w:lang w:eastAsia="en-AU"/>
              </w:rPr>
              <w:t>107.2</w:t>
            </w:r>
          </w:p>
        </w:tc>
      </w:tr>
    </w:tbl>
    <w:p w:rsidR="006E7310" w:rsidRPr="00000C68" w:rsidRDefault="006E7310" w:rsidP="006E7310">
      <w:pPr>
        <w:rPr>
          <w:sz w:val="24"/>
          <w:szCs w:val="24"/>
        </w:rPr>
      </w:pPr>
    </w:p>
    <w:p w:rsidR="006E7310" w:rsidRPr="00000C68" w:rsidRDefault="006E7310" w:rsidP="006E7310">
      <w:pPr>
        <w:rPr>
          <w:sz w:val="24"/>
          <w:szCs w:val="24"/>
        </w:rPr>
      </w:pPr>
      <w:r w:rsidRPr="00000C68">
        <w:rPr>
          <w:sz w:val="24"/>
          <w:szCs w:val="24"/>
        </w:rPr>
        <w:t xml:space="preserve">This exacerbation rate could vary but </w:t>
      </w:r>
      <w:r w:rsidR="005F7233">
        <w:rPr>
          <w:sz w:val="24"/>
          <w:szCs w:val="24"/>
        </w:rPr>
        <w:t xml:space="preserve">a </w:t>
      </w:r>
      <w:r w:rsidRPr="00000C68">
        <w:rPr>
          <w:sz w:val="24"/>
          <w:szCs w:val="24"/>
        </w:rPr>
        <w:t xml:space="preserve">worst case scenario is </w:t>
      </w:r>
      <w:r w:rsidR="005F7233">
        <w:rPr>
          <w:sz w:val="24"/>
          <w:szCs w:val="24"/>
        </w:rPr>
        <w:t xml:space="preserve">a </w:t>
      </w:r>
      <w:r w:rsidRPr="00000C68">
        <w:rPr>
          <w:sz w:val="24"/>
          <w:szCs w:val="24"/>
        </w:rPr>
        <w:t>severe exacerbation rate=0.4 (68 severe exacerbations in 168 NEA subjects)</w:t>
      </w:r>
    </w:p>
    <w:tbl>
      <w:tblPr>
        <w:tblW w:w="7879" w:type="dxa"/>
        <w:tblInd w:w="93" w:type="dxa"/>
        <w:tblLook w:val="04A0" w:firstRow="1" w:lastRow="0" w:firstColumn="1" w:lastColumn="0" w:noHBand="0" w:noVBand="1"/>
      </w:tblPr>
      <w:tblGrid>
        <w:gridCol w:w="3658"/>
        <w:gridCol w:w="1056"/>
        <w:gridCol w:w="1056"/>
        <w:gridCol w:w="1056"/>
        <w:gridCol w:w="1053"/>
      </w:tblGrid>
      <w:tr w:rsidR="006E7310" w:rsidRPr="00000C68" w:rsidTr="00000C68">
        <w:trPr>
          <w:trHeight w:val="300"/>
        </w:trPr>
        <w:tc>
          <w:tcPr>
            <w:tcW w:w="7879" w:type="dxa"/>
            <w:gridSpan w:val="5"/>
            <w:tcBorders>
              <w:top w:val="single" w:sz="4" w:space="0" w:color="auto"/>
              <w:left w:val="single" w:sz="4" w:space="0" w:color="auto"/>
              <w:bottom w:val="nil"/>
              <w:right w:val="single" w:sz="4" w:space="0" w:color="000000"/>
            </w:tcBorders>
            <w:shd w:val="clear" w:color="auto" w:fill="auto"/>
            <w:noWrap/>
            <w:vAlign w:val="bottom"/>
            <w:hideMark/>
          </w:tcPr>
          <w:p w:rsidR="006E7310" w:rsidRPr="00000C68" w:rsidRDefault="006E7310" w:rsidP="006E7310">
            <w:pPr>
              <w:spacing w:after="0" w:line="240" w:lineRule="auto"/>
              <w:jc w:val="center"/>
              <w:rPr>
                <w:rFonts w:eastAsia="Times New Roman" w:cs="Times New Roman"/>
                <w:b/>
                <w:bCs/>
                <w:color w:val="000000"/>
                <w:sz w:val="24"/>
                <w:szCs w:val="24"/>
                <w:lang w:eastAsia="en-AU"/>
              </w:rPr>
            </w:pPr>
            <w:r w:rsidRPr="00000C68">
              <w:rPr>
                <w:rFonts w:eastAsia="Times New Roman" w:cs="Times New Roman"/>
                <w:b/>
                <w:bCs/>
                <w:color w:val="000000"/>
                <w:sz w:val="24"/>
                <w:szCs w:val="24"/>
                <w:lang w:eastAsia="en-AU"/>
              </w:rPr>
              <w:t>Non eosinophilic average severe exac</w:t>
            </w:r>
            <w:r w:rsidR="007D5259">
              <w:rPr>
                <w:rFonts w:eastAsia="Times New Roman" w:cs="Times New Roman"/>
                <w:b/>
                <w:bCs/>
                <w:color w:val="000000"/>
                <w:sz w:val="24"/>
                <w:szCs w:val="24"/>
                <w:lang w:eastAsia="en-AU"/>
              </w:rPr>
              <w:t>erbation</w:t>
            </w:r>
            <w:bookmarkStart w:id="8" w:name="_GoBack"/>
            <w:bookmarkEnd w:id="8"/>
            <w:r w:rsidRPr="00000C68">
              <w:rPr>
                <w:rFonts w:eastAsia="Times New Roman" w:cs="Times New Roman"/>
                <w:b/>
                <w:bCs/>
                <w:color w:val="000000"/>
                <w:sz w:val="24"/>
                <w:szCs w:val="24"/>
                <w:lang w:eastAsia="en-AU"/>
              </w:rPr>
              <w:t xml:space="preserve"> rate =0.4,</w:t>
            </w:r>
          </w:p>
        </w:tc>
      </w:tr>
      <w:tr w:rsidR="006E7310" w:rsidRPr="00000C68" w:rsidTr="00000C68">
        <w:trPr>
          <w:trHeight w:val="300"/>
        </w:trPr>
        <w:tc>
          <w:tcPr>
            <w:tcW w:w="3658" w:type="dxa"/>
            <w:tcBorders>
              <w:top w:val="nil"/>
              <w:left w:val="single" w:sz="4" w:space="0" w:color="auto"/>
              <w:bottom w:val="nil"/>
              <w:right w:val="nil"/>
            </w:tcBorders>
            <w:shd w:val="clear" w:color="auto" w:fill="auto"/>
            <w:noWrap/>
            <w:vAlign w:val="bottom"/>
            <w:hideMark/>
          </w:tcPr>
          <w:p w:rsidR="006E7310" w:rsidRPr="00000C68" w:rsidRDefault="006E7310" w:rsidP="006E7310">
            <w:pPr>
              <w:spacing w:after="0" w:line="240" w:lineRule="auto"/>
              <w:jc w:val="center"/>
              <w:rPr>
                <w:rFonts w:eastAsia="Times New Roman" w:cs="Times New Roman"/>
                <w:color w:val="000000"/>
                <w:sz w:val="24"/>
                <w:szCs w:val="24"/>
                <w:lang w:eastAsia="en-AU"/>
              </w:rPr>
            </w:pPr>
            <w:r w:rsidRPr="00000C68">
              <w:rPr>
                <w:rFonts w:eastAsia="Times New Roman" w:cs="Times New Roman"/>
                <w:color w:val="000000"/>
                <w:sz w:val="24"/>
                <w:szCs w:val="24"/>
                <w:lang w:eastAsia="en-AU"/>
              </w:rPr>
              <w:t>alpha</w:t>
            </w:r>
          </w:p>
        </w:tc>
        <w:tc>
          <w:tcPr>
            <w:tcW w:w="1056" w:type="dxa"/>
            <w:tcBorders>
              <w:top w:val="nil"/>
              <w:left w:val="nil"/>
              <w:bottom w:val="nil"/>
              <w:right w:val="nil"/>
            </w:tcBorders>
            <w:shd w:val="clear" w:color="auto" w:fill="auto"/>
            <w:noWrap/>
            <w:vAlign w:val="bottom"/>
            <w:hideMark/>
          </w:tcPr>
          <w:p w:rsidR="006E7310" w:rsidRPr="00000C68" w:rsidRDefault="006E7310" w:rsidP="006E7310">
            <w:pPr>
              <w:spacing w:after="0" w:line="240" w:lineRule="auto"/>
              <w:jc w:val="center"/>
              <w:rPr>
                <w:rFonts w:eastAsia="Times New Roman" w:cs="Times New Roman"/>
                <w:color w:val="000000"/>
                <w:sz w:val="24"/>
                <w:szCs w:val="24"/>
                <w:lang w:eastAsia="en-AU"/>
              </w:rPr>
            </w:pPr>
            <w:r w:rsidRPr="00000C68">
              <w:rPr>
                <w:rFonts w:eastAsia="Times New Roman" w:cs="Times New Roman"/>
                <w:color w:val="000000"/>
                <w:sz w:val="24"/>
                <w:szCs w:val="24"/>
                <w:lang w:eastAsia="en-AU"/>
              </w:rPr>
              <w:t>0.05</w:t>
            </w:r>
          </w:p>
        </w:tc>
        <w:tc>
          <w:tcPr>
            <w:tcW w:w="1056" w:type="dxa"/>
            <w:tcBorders>
              <w:top w:val="nil"/>
              <w:left w:val="nil"/>
              <w:bottom w:val="nil"/>
              <w:right w:val="nil"/>
            </w:tcBorders>
            <w:shd w:val="clear" w:color="auto" w:fill="auto"/>
            <w:noWrap/>
            <w:vAlign w:val="bottom"/>
            <w:hideMark/>
          </w:tcPr>
          <w:p w:rsidR="006E7310" w:rsidRPr="00000C68" w:rsidRDefault="006E7310" w:rsidP="006E7310">
            <w:pPr>
              <w:spacing w:after="0" w:line="240" w:lineRule="auto"/>
              <w:jc w:val="center"/>
              <w:rPr>
                <w:rFonts w:eastAsia="Times New Roman" w:cs="Times New Roman"/>
                <w:color w:val="000000"/>
                <w:sz w:val="24"/>
                <w:szCs w:val="24"/>
                <w:lang w:eastAsia="en-AU"/>
              </w:rPr>
            </w:pPr>
            <w:r w:rsidRPr="00000C68">
              <w:rPr>
                <w:rFonts w:eastAsia="Times New Roman" w:cs="Times New Roman"/>
                <w:color w:val="000000"/>
                <w:sz w:val="24"/>
                <w:szCs w:val="24"/>
                <w:lang w:eastAsia="en-AU"/>
              </w:rPr>
              <w:t>0.05</w:t>
            </w:r>
          </w:p>
        </w:tc>
        <w:tc>
          <w:tcPr>
            <w:tcW w:w="1056" w:type="dxa"/>
            <w:tcBorders>
              <w:top w:val="nil"/>
              <w:left w:val="nil"/>
              <w:bottom w:val="nil"/>
              <w:right w:val="nil"/>
            </w:tcBorders>
            <w:shd w:val="clear" w:color="auto" w:fill="auto"/>
            <w:noWrap/>
            <w:vAlign w:val="bottom"/>
            <w:hideMark/>
          </w:tcPr>
          <w:p w:rsidR="006E7310" w:rsidRPr="00000C68" w:rsidRDefault="006E7310" w:rsidP="006E7310">
            <w:pPr>
              <w:spacing w:after="0" w:line="240" w:lineRule="auto"/>
              <w:jc w:val="center"/>
              <w:rPr>
                <w:rFonts w:eastAsia="Times New Roman" w:cs="Times New Roman"/>
                <w:color w:val="000000"/>
                <w:sz w:val="24"/>
                <w:szCs w:val="24"/>
                <w:lang w:eastAsia="en-AU"/>
              </w:rPr>
            </w:pPr>
            <w:r w:rsidRPr="00000C68">
              <w:rPr>
                <w:rFonts w:eastAsia="Times New Roman" w:cs="Times New Roman"/>
                <w:color w:val="000000"/>
                <w:sz w:val="24"/>
                <w:szCs w:val="24"/>
                <w:lang w:eastAsia="en-AU"/>
              </w:rPr>
              <w:t>0.05</w:t>
            </w:r>
          </w:p>
        </w:tc>
        <w:tc>
          <w:tcPr>
            <w:tcW w:w="1053" w:type="dxa"/>
            <w:tcBorders>
              <w:top w:val="nil"/>
              <w:left w:val="nil"/>
              <w:bottom w:val="nil"/>
              <w:right w:val="nil"/>
            </w:tcBorders>
            <w:shd w:val="clear" w:color="auto" w:fill="auto"/>
            <w:noWrap/>
            <w:vAlign w:val="bottom"/>
            <w:hideMark/>
          </w:tcPr>
          <w:p w:rsidR="006E7310" w:rsidRPr="00000C68" w:rsidRDefault="006E7310" w:rsidP="006E7310">
            <w:pPr>
              <w:spacing w:after="0" w:line="240" w:lineRule="auto"/>
              <w:jc w:val="center"/>
              <w:rPr>
                <w:rFonts w:eastAsia="Times New Roman" w:cs="Times New Roman"/>
                <w:color w:val="000000"/>
                <w:sz w:val="24"/>
                <w:szCs w:val="24"/>
                <w:lang w:eastAsia="en-AU"/>
              </w:rPr>
            </w:pPr>
            <w:r w:rsidRPr="00000C68">
              <w:rPr>
                <w:rFonts w:eastAsia="Times New Roman" w:cs="Times New Roman"/>
                <w:color w:val="000000"/>
                <w:sz w:val="24"/>
                <w:szCs w:val="24"/>
                <w:lang w:eastAsia="en-AU"/>
              </w:rPr>
              <w:t>0.05</w:t>
            </w:r>
          </w:p>
        </w:tc>
      </w:tr>
      <w:tr w:rsidR="006E7310" w:rsidRPr="00000C68" w:rsidTr="00000C68">
        <w:trPr>
          <w:trHeight w:val="300"/>
        </w:trPr>
        <w:tc>
          <w:tcPr>
            <w:tcW w:w="3658" w:type="dxa"/>
            <w:tcBorders>
              <w:top w:val="nil"/>
              <w:left w:val="single" w:sz="4" w:space="0" w:color="auto"/>
              <w:bottom w:val="nil"/>
              <w:right w:val="nil"/>
            </w:tcBorders>
            <w:shd w:val="clear" w:color="auto" w:fill="auto"/>
            <w:noWrap/>
            <w:vAlign w:val="bottom"/>
            <w:hideMark/>
          </w:tcPr>
          <w:p w:rsidR="006E7310" w:rsidRPr="00000C68" w:rsidRDefault="006E7310" w:rsidP="006E7310">
            <w:pPr>
              <w:spacing w:after="0" w:line="240" w:lineRule="auto"/>
              <w:jc w:val="center"/>
              <w:rPr>
                <w:rFonts w:eastAsia="Times New Roman" w:cs="Times New Roman"/>
                <w:color w:val="000000"/>
                <w:sz w:val="24"/>
                <w:szCs w:val="24"/>
                <w:lang w:eastAsia="en-AU"/>
              </w:rPr>
            </w:pPr>
            <w:r w:rsidRPr="00000C68">
              <w:rPr>
                <w:rFonts w:eastAsia="Times New Roman" w:cs="Times New Roman"/>
                <w:color w:val="000000"/>
                <w:sz w:val="24"/>
                <w:szCs w:val="24"/>
                <w:lang w:eastAsia="en-AU"/>
              </w:rPr>
              <w:t>power</w:t>
            </w:r>
          </w:p>
        </w:tc>
        <w:tc>
          <w:tcPr>
            <w:tcW w:w="1056" w:type="dxa"/>
            <w:tcBorders>
              <w:top w:val="nil"/>
              <w:left w:val="nil"/>
              <w:bottom w:val="nil"/>
              <w:right w:val="nil"/>
            </w:tcBorders>
            <w:shd w:val="clear" w:color="auto" w:fill="auto"/>
            <w:noWrap/>
            <w:vAlign w:val="bottom"/>
            <w:hideMark/>
          </w:tcPr>
          <w:p w:rsidR="006E7310" w:rsidRPr="00000C68" w:rsidRDefault="006E7310" w:rsidP="006E7310">
            <w:pPr>
              <w:spacing w:after="0" w:line="240" w:lineRule="auto"/>
              <w:jc w:val="center"/>
              <w:rPr>
                <w:rFonts w:eastAsia="Times New Roman" w:cs="Times New Roman"/>
                <w:color w:val="000000"/>
                <w:sz w:val="24"/>
                <w:szCs w:val="24"/>
                <w:lang w:eastAsia="en-AU"/>
              </w:rPr>
            </w:pPr>
            <w:r w:rsidRPr="00000C68">
              <w:rPr>
                <w:rFonts w:eastAsia="Times New Roman" w:cs="Times New Roman"/>
                <w:color w:val="000000"/>
                <w:sz w:val="24"/>
                <w:szCs w:val="24"/>
                <w:lang w:eastAsia="en-AU"/>
              </w:rPr>
              <w:t>80%</w:t>
            </w:r>
          </w:p>
        </w:tc>
        <w:tc>
          <w:tcPr>
            <w:tcW w:w="1056" w:type="dxa"/>
            <w:tcBorders>
              <w:top w:val="nil"/>
              <w:left w:val="nil"/>
              <w:bottom w:val="nil"/>
              <w:right w:val="nil"/>
            </w:tcBorders>
            <w:shd w:val="clear" w:color="auto" w:fill="auto"/>
            <w:noWrap/>
            <w:vAlign w:val="bottom"/>
            <w:hideMark/>
          </w:tcPr>
          <w:p w:rsidR="006E7310" w:rsidRPr="00000C68" w:rsidRDefault="006E7310" w:rsidP="006E7310">
            <w:pPr>
              <w:spacing w:after="0" w:line="240" w:lineRule="auto"/>
              <w:jc w:val="center"/>
              <w:rPr>
                <w:rFonts w:eastAsia="Times New Roman" w:cs="Times New Roman"/>
                <w:color w:val="000000"/>
                <w:sz w:val="24"/>
                <w:szCs w:val="24"/>
                <w:lang w:eastAsia="en-AU"/>
              </w:rPr>
            </w:pPr>
            <w:r w:rsidRPr="00000C68">
              <w:rPr>
                <w:rFonts w:eastAsia="Times New Roman" w:cs="Times New Roman"/>
                <w:color w:val="000000"/>
                <w:sz w:val="24"/>
                <w:szCs w:val="24"/>
                <w:lang w:eastAsia="en-AU"/>
              </w:rPr>
              <w:t>80%</w:t>
            </w:r>
          </w:p>
        </w:tc>
        <w:tc>
          <w:tcPr>
            <w:tcW w:w="1056" w:type="dxa"/>
            <w:tcBorders>
              <w:top w:val="nil"/>
              <w:left w:val="nil"/>
              <w:bottom w:val="nil"/>
              <w:right w:val="nil"/>
            </w:tcBorders>
            <w:shd w:val="clear" w:color="auto" w:fill="auto"/>
            <w:noWrap/>
            <w:vAlign w:val="bottom"/>
            <w:hideMark/>
          </w:tcPr>
          <w:p w:rsidR="006E7310" w:rsidRPr="00000C68" w:rsidRDefault="006E7310" w:rsidP="006E7310">
            <w:pPr>
              <w:spacing w:after="0" w:line="240" w:lineRule="auto"/>
              <w:jc w:val="center"/>
              <w:rPr>
                <w:rFonts w:eastAsia="Times New Roman" w:cs="Times New Roman"/>
                <w:color w:val="000000"/>
                <w:sz w:val="24"/>
                <w:szCs w:val="24"/>
                <w:lang w:eastAsia="en-AU"/>
              </w:rPr>
            </w:pPr>
            <w:r w:rsidRPr="00000C68">
              <w:rPr>
                <w:rFonts w:eastAsia="Times New Roman" w:cs="Times New Roman"/>
                <w:color w:val="000000"/>
                <w:sz w:val="24"/>
                <w:szCs w:val="24"/>
                <w:lang w:eastAsia="en-AU"/>
              </w:rPr>
              <w:t>80%</w:t>
            </w:r>
          </w:p>
        </w:tc>
        <w:tc>
          <w:tcPr>
            <w:tcW w:w="1053" w:type="dxa"/>
            <w:tcBorders>
              <w:top w:val="nil"/>
              <w:left w:val="nil"/>
              <w:bottom w:val="nil"/>
              <w:right w:val="nil"/>
            </w:tcBorders>
            <w:shd w:val="clear" w:color="auto" w:fill="auto"/>
            <w:noWrap/>
            <w:vAlign w:val="bottom"/>
            <w:hideMark/>
          </w:tcPr>
          <w:p w:rsidR="006E7310" w:rsidRPr="00000C68" w:rsidRDefault="006E7310" w:rsidP="006E7310">
            <w:pPr>
              <w:spacing w:after="0" w:line="240" w:lineRule="auto"/>
              <w:jc w:val="center"/>
              <w:rPr>
                <w:rFonts w:eastAsia="Times New Roman" w:cs="Times New Roman"/>
                <w:color w:val="000000"/>
                <w:sz w:val="24"/>
                <w:szCs w:val="24"/>
                <w:lang w:eastAsia="en-AU"/>
              </w:rPr>
            </w:pPr>
            <w:r w:rsidRPr="00000C68">
              <w:rPr>
                <w:rFonts w:eastAsia="Times New Roman" w:cs="Times New Roman"/>
                <w:color w:val="000000"/>
                <w:sz w:val="24"/>
                <w:szCs w:val="24"/>
                <w:lang w:eastAsia="en-AU"/>
              </w:rPr>
              <w:t>80%</w:t>
            </w:r>
          </w:p>
        </w:tc>
      </w:tr>
      <w:tr w:rsidR="006E7310" w:rsidRPr="00000C68" w:rsidTr="00000C68">
        <w:trPr>
          <w:trHeight w:val="300"/>
        </w:trPr>
        <w:tc>
          <w:tcPr>
            <w:tcW w:w="3658" w:type="dxa"/>
            <w:tcBorders>
              <w:top w:val="nil"/>
              <w:left w:val="single" w:sz="4" w:space="0" w:color="auto"/>
              <w:bottom w:val="nil"/>
              <w:right w:val="nil"/>
            </w:tcBorders>
            <w:shd w:val="clear" w:color="auto" w:fill="auto"/>
            <w:noWrap/>
            <w:vAlign w:val="bottom"/>
            <w:hideMark/>
          </w:tcPr>
          <w:p w:rsidR="006E7310" w:rsidRPr="00000C68" w:rsidRDefault="006E7310" w:rsidP="006E7310">
            <w:pPr>
              <w:spacing w:after="0" w:line="240" w:lineRule="auto"/>
              <w:rPr>
                <w:rFonts w:eastAsia="Times New Roman" w:cs="Times New Roman"/>
                <w:color w:val="000000"/>
                <w:sz w:val="24"/>
                <w:szCs w:val="24"/>
                <w:lang w:eastAsia="en-AU"/>
              </w:rPr>
            </w:pPr>
            <w:r w:rsidRPr="00000C68">
              <w:rPr>
                <w:rFonts w:eastAsia="Times New Roman" w:cs="Times New Roman"/>
                <w:color w:val="000000"/>
                <w:sz w:val="24"/>
                <w:szCs w:val="24"/>
                <w:lang w:eastAsia="en-AU"/>
              </w:rPr>
              <w:t>reduction</w:t>
            </w:r>
          </w:p>
        </w:tc>
        <w:tc>
          <w:tcPr>
            <w:tcW w:w="1056" w:type="dxa"/>
            <w:tcBorders>
              <w:top w:val="nil"/>
              <w:left w:val="nil"/>
              <w:bottom w:val="nil"/>
              <w:right w:val="nil"/>
            </w:tcBorders>
            <w:shd w:val="clear" w:color="auto" w:fill="auto"/>
            <w:noWrap/>
            <w:vAlign w:val="bottom"/>
            <w:hideMark/>
          </w:tcPr>
          <w:p w:rsidR="006E7310" w:rsidRPr="00000C68" w:rsidRDefault="006E7310" w:rsidP="006E7310">
            <w:pPr>
              <w:spacing w:after="0" w:line="240" w:lineRule="auto"/>
              <w:jc w:val="right"/>
              <w:rPr>
                <w:rFonts w:eastAsia="Times New Roman" w:cs="Times New Roman"/>
                <w:b/>
                <w:bCs/>
                <w:color w:val="000000"/>
                <w:sz w:val="24"/>
                <w:szCs w:val="24"/>
                <w:lang w:eastAsia="en-AU"/>
              </w:rPr>
            </w:pPr>
            <w:r w:rsidRPr="00000C68">
              <w:rPr>
                <w:rFonts w:eastAsia="Times New Roman" w:cs="Times New Roman"/>
                <w:b/>
                <w:bCs/>
                <w:color w:val="000000"/>
                <w:sz w:val="24"/>
                <w:szCs w:val="24"/>
                <w:lang w:eastAsia="en-AU"/>
              </w:rPr>
              <w:t>58%</w:t>
            </w:r>
          </w:p>
        </w:tc>
        <w:tc>
          <w:tcPr>
            <w:tcW w:w="1056" w:type="dxa"/>
            <w:tcBorders>
              <w:top w:val="nil"/>
              <w:left w:val="nil"/>
              <w:bottom w:val="nil"/>
              <w:right w:val="nil"/>
            </w:tcBorders>
            <w:shd w:val="clear" w:color="auto" w:fill="auto"/>
            <w:noWrap/>
            <w:vAlign w:val="bottom"/>
            <w:hideMark/>
          </w:tcPr>
          <w:p w:rsidR="006E7310" w:rsidRPr="00000C68" w:rsidRDefault="006E7310" w:rsidP="006E7310">
            <w:pPr>
              <w:spacing w:after="0" w:line="240" w:lineRule="auto"/>
              <w:jc w:val="right"/>
              <w:rPr>
                <w:rFonts w:eastAsia="Times New Roman" w:cs="Times New Roman"/>
                <w:b/>
                <w:bCs/>
                <w:color w:val="000000"/>
                <w:sz w:val="24"/>
                <w:szCs w:val="24"/>
                <w:lang w:eastAsia="en-AU"/>
              </w:rPr>
            </w:pPr>
            <w:r w:rsidRPr="00000C68">
              <w:rPr>
                <w:rFonts w:eastAsia="Times New Roman" w:cs="Times New Roman"/>
                <w:b/>
                <w:bCs/>
                <w:color w:val="000000"/>
                <w:sz w:val="24"/>
                <w:szCs w:val="24"/>
                <w:lang w:eastAsia="en-AU"/>
              </w:rPr>
              <w:t>55%</w:t>
            </w:r>
          </w:p>
        </w:tc>
        <w:tc>
          <w:tcPr>
            <w:tcW w:w="1056" w:type="dxa"/>
            <w:tcBorders>
              <w:top w:val="nil"/>
              <w:left w:val="nil"/>
              <w:bottom w:val="nil"/>
              <w:right w:val="nil"/>
            </w:tcBorders>
            <w:shd w:val="clear" w:color="auto" w:fill="auto"/>
            <w:noWrap/>
            <w:vAlign w:val="bottom"/>
            <w:hideMark/>
          </w:tcPr>
          <w:p w:rsidR="006E7310" w:rsidRPr="00000C68" w:rsidRDefault="006E7310" w:rsidP="006E7310">
            <w:pPr>
              <w:spacing w:after="0" w:line="240" w:lineRule="auto"/>
              <w:jc w:val="right"/>
              <w:rPr>
                <w:rFonts w:eastAsia="Times New Roman" w:cs="Times New Roman"/>
                <w:b/>
                <w:bCs/>
                <w:color w:val="000000"/>
                <w:sz w:val="24"/>
                <w:szCs w:val="24"/>
                <w:lang w:eastAsia="en-AU"/>
              </w:rPr>
            </w:pPr>
            <w:r w:rsidRPr="00000C68">
              <w:rPr>
                <w:rFonts w:eastAsia="Times New Roman" w:cs="Times New Roman"/>
                <w:b/>
                <w:bCs/>
                <w:color w:val="000000"/>
                <w:sz w:val="24"/>
                <w:szCs w:val="24"/>
                <w:lang w:eastAsia="en-AU"/>
              </w:rPr>
              <w:t>52%</w:t>
            </w:r>
          </w:p>
        </w:tc>
        <w:tc>
          <w:tcPr>
            <w:tcW w:w="1053" w:type="dxa"/>
            <w:tcBorders>
              <w:top w:val="nil"/>
              <w:left w:val="nil"/>
              <w:bottom w:val="nil"/>
              <w:right w:val="nil"/>
            </w:tcBorders>
            <w:shd w:val="clear" w:color="auto" w:fill="auto"/>
            <w:noWrap/>
            <w:vAlign w:val="bottom"/>
            <w:hideMark/>
          </w:tcPr>
          <w:p w:rsidR="006E7310" w:rsidRPr="00000C68" w:rsidRDefault="006E7310" w:rsidP="006E7310">
            <w:pPr>
              <w:spacing w:after="0" w:line="240" w:lineRule="auto"/>
              <w:jc w:val="right"/>
              <w:rPr>
                <w:rFonts w:eastAsia="Times New Roman" w:cs="Times New Roman"/>
                <w:color w:val="000000"/>
                <w:sz w:val="24"/>
                <w:szCs w:val="24"/>
                <w:lang w:eastAsia="en-AU"/>
              </w:rPr>
            </w:pPr>
            <w:r w:rsidRPr="00000C68">
              <w:rPr>
                <w:rFonts w:eastAsia="Times New Roman" w:cs="Times New Roman"/>
                <w:color w:val="000000"/>
                <w:sz w:val="24"/>
                <w:szCs w:val="24"/>
                <w:lang w:eastAsia="en-AU"/>
              </w:rPr>
              <w:t>49%</w:t>
            </w:r>
          </w:p>
        </w:tc>
      </w:tr>
      <w:tr w:rsidR="006E7310" w:rsidRPr="00000C68" w:rsidTr="00000C68">
        <w:trPr>
          <w:trHeight w:val="300"/>
        </w:trPr>
        <w:tc>
          <w:tcPr>
            <w:tcW w:w="3658" w:type="dxa"/>
            <w:tcBorders>
              <w:top w:val="nil"/>
              <w:left w:val="single" w:sz="4" w:space="0" w:color="auto"/>
              <w:bottom w:val="nil"/>
              <w:right w:val="nil"/>
            </w:tcBorders>
            <w:shd w:val="clear" w:color="auto" w:fill="auto"/>
            <w:noWrap/>
            <w:vAlign w:val="bottom"/>
            <w:hideMark/>
          </w:tcPr>
          <w:p w:rsidR="006E7310" w:rsidRPr="00000C68" w:rsidRDefault="006E7310" w:rsidP="006E7310">
            <w:pPr>
              <w:spacing w:after="0" w:line="240" w:lineRule="auto"/>
              <w:rPr>
                <w:rFonts w:eastAsia="Times New Roman" w:cs="Times New Roman"/>
                <w:color w:val="000000"/>
                <w:sz w:val="24"/>
                <w:szCs w:val="24"/>
                <w:lang w:eastAsia="en-AU"/>
              </w:rPr>
            </w:pPr>
            <w:r w:rsidRPr="00000C68">
              <w:rPr>
                <w:rFonts w:eastAsia="Times New Roman" w:cs="Times New Roman"/>
                <w:color w:val="000000"/>
                <w:sz w:val="24"/>
                <w:szCs w:val="24"/>
                <w:lang w:eastAsia="en-AU"/>
              </w:rPr>
              <w:t>Control event rate</w:t>
            </w:r>
          </w:p>
        </w:tc>
        <w:tc>
          <w:tcPr>
            <w:tcW w:w="1056" w:type="dxa"/>
            <w:tcBorders>
              <w:top w:val="nil"/>
              <w:left w:val="nil"/>
              <w:bottom w:val="nil"/>
              <w:right w:val="nil"/>
            </w:tcBorders>
            <w:shd w:val="clear" w:color="auto" w:fill="auto"/>
            <w:noWrap/>
            <w:vAlign w:val="bottom"/>
            <w:hideMark/>
          </w:tcPr>
          <w:p w:rsidR="006E7310" w:rsidRPr="00000C68" w:rsidRDefault="006E7310" w:rsidP="006E7310">
            <w:pPr>
              <w:spacing w:after="0" w:line="240" w:lineRule="auto"/>
              <w:jc w:val="right"/>
              <w:rPr>
                <w:rFonts w:eastAsia="Times New Roman" w:cs="Times New Roman"/>
                <w:color w:val="000000"/>
                <w:sz w:val="24"/>
                <w:szCs w:val="24"/>
                <w:lang w:eastAsia="en-AU"/>
              </w:rPr>
            </w:pPr>
            <w:r w:rsidRPr="00000C68">
              <w:rPr>
                <w:rFonts w:eastAsia="Times New Roman" w:cs="Times New Roman"/>
                <w:color w:val="000000"/>
                <w:sz w:val="24"/>
                <w:szCs w:val="24"/>
                <w:lang w:eastAsia="en-AU"/>
              </w:rPr>
              <w:t>0.57</w:t>
            </w:r>
          </w:p>
        </w:tc>
        <w:tc>
          <w:tcPr>
            <w:tcW w:w="1056" w:type="dxa"/>
            <w:tcBorders>
              <w:top w:val="nil"/>
              <w:left w:val="nil"/>
              <w:bottom w:val="nil"/>
              <w:right w:val="nil"/>
            </w:tcBorders>
            <w:shd w:val="clear" w:color="auto" w:fill="auto"/>
            <w:noWrap/>
            <w:vAlign w:val="bottom"/>
            <w:hideMark/>
          </w:tcPr>
          <w:p w:rsidR="006E7310" w:rsidRPr="00000C68" w:rsidRDefault="006E7310" w:rsidP="006E7310">
            <w:pPr>
              <w:spacing w:after="0" w:line="240" w:lineRule="auto"/>
              <w:jc w:val="right"/>
              <w:rPr>
                <w:rFonts w:eastAsia="Times New Roman" w:cs="Times New Roman"/>
                <w:color w:val="000000"/>
                <w:sz w:val="24"/>
                <w:szCs w:val="24"/>
                <w:lang w:eastAsia="en-AU"/>
              </w:rPr>
            </w:pPr>
            <w:r w:rsidRPr="00000C68">
              <w:rPr>
                <w:rFonts w:eastAsia="Times New Roman" w:cs="Times New Roman"/>
                <w:color w:val="000000"/>
                <w:sz w:val="24"/>
                <w:szCs w:val="24"/>
                <w:lang w:eastAsia="en-AU"/>
              </w:rPr>
              <w:t>0.55</w:t>
            </w:r>
          </w:p>
        </w:tc>
        <w:tc>
          <w:tcPr>
            <w:tcW w:w="1056" w:type="dxa"/>
            <w:tcBorders>
              <w:top w:val="nil"/>
              <w:left w:val="nil"/>
              <w:bottom w:val="nil"/>
              <w:right w:val="nil"/>
            </w:tcBorders>
            <w:shd w:val="clear" w:color="auto" w:fill="auto"/>
            <w:noWrap/>
            <w:vAlign w:val="bottom"/>
            <w:hideMark/>
          </w:tcPr>
          <w:p w:rsidR="006E7310" w:rsidRPr="00000C68" w:rsidRDefault="006E7310" w:rsidP="006E7310">
            <w:pPr>
              <w:spacing w:after="0" w:line="240" w:lineRule="auto"/>
              <w:jc w:val="right"/>
              <w:rPr>
                <w:rFonts w:eastAsia="Times New Roman" w:cs="Times New Roman"/>
                <w:color w:val="000000"/>
                <w:sz w:val="24"/>
                <w:szCs w:val="24"/>
                <w:lang w:eastAsia="en-AU"/>
              </w:rPr>
            </w:pPr>
            <w:r w:rsidRPr="00000C68">
              <w:rPr>
                <w:rFonts w:eastAsia="Times New Roman" w:cs="Times New Roman"/>
                <w:color w:val="000000"/>
                <w:sz w:val="24"/>
                <w:szCs w:val="24"/>
                <w:lang w:eastAsia="en-AU"/>
              </w:rPr>
              <w:t>0.54</w:t>
            </w:r>
          </w:p>
        </w:tc>
        <w:tc>
          <w:tcPr>
            <w:tcW w:w="1053" w:type="dxa"/>
            <w:tcBorders>
              <w:top w:val="nil"/>
              <w:left w:val="nil"/>
              <w:bottom w:val="nil"/>
              <w:right w:val="nil"/>
            </w:tcBorders>
            <w:shd w:val="clear" w:color="auto" w:fill="auto"/>
            <w:noWrap/>
            <w:vAlign w:val="bottom"/>
            <w:hideMark/>
          </w:tcPr>
          <w:p w:rsidR="006E7310" w:rsidRPr="00000C68" w:rsidRDefault="006E7310" w:rsidP="006E7310">
            <w:pPr>
              <w:spacing w:after="0" w:line="240" w:lineRule="auto"/>
              <w:jc w:val="right"/>
              <w:rPr>
                <w:rFonts w:eastAsia="Times New Roman" w:cs="Times New Roman"/>
                <w:color w:val="000000"/>
                <w:sz w:val="24"/>
                <w:szCs w:val="24"/>
                <w:lang w:eastAsia="en-AU"/>
              </w:rPr>
            </w:pPr>
            <w:r w:rsidRPr="00000C68">
              <w:rPr>
                <w:rFonts w:eastAsia="Times New Roman" w:cs="Times New Roman"/>
                <w:color w:val="000000"/>
                <w:sz w:val="24"/>
                <w:szCs w:val="24"/>
                <w:lang w:eastAsia="en-AU"/>
              </w:rPr>
              <w:t>0.53</w:t>
            </w:r>
          </w:p>
        </w:tc>
      </w:tr>
      <w:tr w:rsidR="006E7310" w:rsidRPr="00000C68" w:rsidTr="00000C68">
        <w:trPr>
          <w:trHeight w:val="300"/>
        </w:trPr>
        <w:tc>
          <w:tcPr>
            <w:tcW w:w="3658" w:type="dxa"/>
            <w:tcBorders>
              <w:top w:val="nil"/>
              <w:left w:val="single" w:sz="4" w:space="0" w:color="auto"/>
              <w:bottom w:val="nil"/>
              <w:right w:val="nil"/>
            </w:tcBorders>
            <w:shd w:val="clear" w:color="auto" w:fill="auto"/>
            <w:noWrap/>
            <w:vAlign w:val="bottom"/>
            <w:hideMark/>
          </w:tcPr>
          <w:p w:rsidR="006E7310" w:rsidRPr="00000C68" w:rsidRDefault="006E7310" w:rsidP="006E7310">
            <w:pPr>
              <w:spacing w:after="0" w:line="240" w:lineRule="auto"/>
              <w:rPr>
                <w:rFonts w:eastAsia="Times New Roman" w:cs="Times New Roman"/>
                <w:color w:val="000000"/>
                <w:sz w:val="24"/>
                <w:szCs w:val="24"/>
                <w:lang w:eastAsia="en-AU"/>
              </w:rPr>
            </w:pPr>
            <w:r w:rsidRPr="00000C68">
              <w:rPr>
                <w:rFonts w:eastAsia="Times New Roman" w:cs="Times New Roman"/>
                <w:color w:val="000000"/>
                <w:sz w:val="24"/>
                <w:szCs w:val="24"/>
                <w:lang w:eastAsia="en-AU"/>
              </w:rPr>
              <w:t>Intervention event rate</w:t>
            </w:r>
          </w:p>
        </w:tc>
        <w:tc>
          <w:tcPr>
            <w:tcW w:w="1056" w:type="dxa"/>
            <w:tcBorders>
              <w:top w:val="nil"/>
              <w:left w:val="nil"/>
              <w:bottom w:val="nil"/>
              <w:right w:val="nil"/>
            </w:tcBorders>
            <w:shd w:val="clear" w:color="auto" w:fill="auto"/>
            <w:noWrap/>
            <w:vAlign w:val="bottom"/>
            <w:hideMark/>
          </w:tcPr>
          <w:p w:rsidR="006E7310" w:rsidRPr="00000C68" w:rsidRDefault="006E7310" w:rsidP="006E7310">
            <w:pPr>
              <w:spacing w:after="0" w:line="240" w:lineRule="auto"/>
              <w:jc w:val="right"/>
              <w:rPr>
                <w:rFonts w:eastAsia="Times New Roman" w:cs="Times New Roman"/>
                <w:color w:val="000000"/>
                <w:sz w:val="24"/>
                <w:szCs w:val="24"/>
                <w:lang w:eastAsia="en-AU"/>
              </w:rPr>
            </w:pPr>
            <w:r w:rsidRPr="00000C68">
              <w:rPr>
                <w:rFonts w:eastAsia="Times New Roman" w:cs="Times New Roman"/>
                <w:color w:val="000000"/>
                <w:sz w:val="24"/>
                <w:szCs w:val="24"/>
                <w:lang w:eastAsia="en-AU"/>
              </w:rPr>
              <w:t>0.24</w:t>
            </w:r>
          </w:p>
        </w:tc>
        <w:tc>
          <w:tcPr>
            <w:tcW w:w="1056" w:type="dxa"/>
            <w:tcBorders>
              <w:top w:val="nil"/>
              <w:left w:val="nil"/>
              <w:bottom w:val="nil"/>
              <w:right w:val="nil"/>
            </w:tcBorders>
            <w:shd w:val="clear" w:color="auto" w:fill="auto"/>
            <w:noWrap/>
            <w:vAlign w:val="bottom"/>
            <w:hideMark/>
          </w:tcPr>
          <w:p w:rsidR="006E7310" w:rsidRPr="00000C68" w:rsidRDefault="006E7310" w:rsidP="006E7310">
            <w:pPr>
              <w:spacing w:after="0" w:line="240" w:lineRule="auto"/>
              <w:jc w:val="right"/>
              <w:rPr>
                <w:rFonts w:eastAsia="Times New Roman" w:cs="Times New Roman"/>
                <w:color w:val="000000"/>
                <w:sz w:val="24"/>
                <w:szCs w:val="24"/>
                <w:lang w:eastAsia="en-AU"/>
              </w:rPr>
            </w:pPr>
            <w:r w:rsidRPr="00000C68">
              <w:rPr>
                <w:rFonts w:eastAsia="Times New Roman" w:cs="Times New Roman"/>
                <w:color w:val="000000"/>
                <w:sz w:val="24"/>
                <w:szCs w:val="24"/>
                <w:lang w:eastAsia="en-AU"/>
              </w:rPr>
              <w:t>0.25</w:t>
            </w:r>
          </w:p>
        </w:tc>
        <w:tc>
          <w:tcPr>
            <w:tcW w:w="1056" w:type="dxa"/>
            <w:tcBorders>
              <w:top w:val="nil"/>
              <w:left w:val="nil"/>
              <w:bottom w:val="nil"/>
              <w:right w:val="nil"/>
            </w:tcBorders>
            <w:shd w:val="clear" w:color="auto" w:fill="auto"/>
            <w:noWrap/>
            <w:vAlign w:val="bottom"/>
            <w:hideMark/>
          </w:tcPr>
          <w:p w:rsidR="006E7310" w:rsidRPr="00000C68" w:rsidRDefault="006E7310" w:rsidP="006E7310">
            <w:pPr>
              <w:spacing w:after="0" w:line="240" w:lineRule="auto"/>
              <w:jc w:val="right"/>
              <w:rPr>
                <w:rFonts w:eastAsia="Times New Roman" w:cs="Times New Roman"/>
                <w:color w:val="000000"/>
                <w:sz w:val="24"/>
                <w:szCs w:val="24"/>
                <w:lang w:eastAsia="en-AU"/>
              </w:rPr>
            </w:pPr>
            <w:r w:rsidRPr="00000C68">
              <w:rPr>
                <w:rFonts w:eastAsia="Times New Roman" w:cs="Times New Roman"/>
                <w:color w:val="000000"/>
                <w:sz w:val="24"/>
                <w:szCs w:val="24"/>
                <w:lang w:eastAsia="en-AU"/>
              </w:rPr>
              <w:t>0.26</w:t>
            </w:r>
          </w:p>
        </w:tc>
        <w:tc>
          <w:tcPr>
            <w:tcW w:w="1053" w:type="dxa"/>
            <w:tcBorders>
              <w:top w:val="nil"/>
              <w:left w:val="nil"/>
              <w:bottom w:val="nil"/>
              <w:right w:val="nil"/>
            </w:tcBorders>
            <w:shd w:val="clear" w:color="auto" w:fill="auto"/>
            <w:noWrap/>
            <w:vAlign w:val="bottom"/>
            <w:hideMark/>
          </w:tcPr>
          <w:p w:rsidR="006E7310" w:rsidRPr="00000C68" w:rsidRDefault="006E7310" w:rsidP="006E7310">
            <w:pPr>
              <w:spacing w:after="0" w:line="240" w:lineRule="auto"/>
              <w:jc w:val="right"/>
              <w:rPr>
                <w:rFonts w:eastAsia="Times New Roman" w:cs="Times New Roman"/>
                <w:color w:val="000000"/>
                <w:sz w:val="24"/>
                <w:szCs w:val="24"/>
                <w:lang w:eastAsia="en-AU"/>
              </w:rPr>
            </w:pPr>
            <w:r w:rsidRPr="00000C68">
              <w:rPr>
                <w:rFonts w:eastAsia="Times New Roman" w:cs="Times New Roman"/>
                <w:color w:val="000000"/>
                <w:sz w:val="24"/>
                <w:szCs w:val="24"/>
                <w:lang w:eastAsia="en-AU"/>
              </w:rPr>
              <w:t>0.27</w:t>
            </w:r>
          </w:p>
        </w:tc>
      </w:tr>
      <w:tr w:rsidR="006E7310" w:rsidRPr="00000C68" w:rsidTr="00000C68">
        <w:trPr>
          <w:trHeight w:val="300"/>
        </w:trPr>
        <w:tc>
          <w:tcPr>
            <w:tcW w:w="3658" w:type="dxa"/>
            <w:tcBorders>
              <w:top w:val="nil"/>
              <w:left w:val="single" w:sz="4" w:space="0" w:color="auto"/>
              <w:bottom w:val="nil"/>
              <w:right w:val="nil"/>
            </w:tcBorders>
            <w:shd w:val="clear" w:color="auto" w:fill="auto"/>
            <w:noWrap/>
            <w:vAlign w:val="bottom"/>
            <w:hideMark/>
          </w:tcPr>
          <w:p w:rsidR="006E7310" w:rsidRPr="00000C68" w:rsidRDefault="006E7310" w:rsidP="006E7310">
            <w:pPr>
              <w:spacing w:after="0" w:line="240" w:lineRule="auto"/>
              <w:rPr>
                <w:rFonts w:eastAsia="Times New Roman" w:cs="Times New Roman"/>
                <w:color w:val="000000"/>
                <w:sz w:val="24"/>
                <w:szCs w:val="24"/>
                <w:lang w:eastAsia="en-AU"/>
              </w:rPr>
            </w:pPr>
            <w:r w:rsidRPr="00000C68">
              <w:rPr>
                <w:rFonts w:eastAsia="Times New Roman" w:cs="Times New Roman"/>
                <w:color w:val="000000"/>
                <w:sz w:val="24"/>
                <w:szCs w:val="24"/>
                <w:lang w:eastAsia="en-AU"/>
              </w:rPr>
              <w:t> </w:t>
            </w:r>
          </w:p>
        </w:tc>
        <w:tc>
          <w:tcPr>
            <w:tcW w:w="1056" w:type="dxa"/>
            <w:tcBorders>
              <w:top w:val="nil"/>
              <w:left w:val="nil"/>
              <w:bottom w:val="nil"/>
              <w:right w:val="nil"/>
            </w:tcBorders>
            <w:shd w:val="clear" w:color="auto" w:fill="auto"/>
            <w:noWrap/>
            <w:vAlign w:val="bottom"/>
            <w:hideMark/>
          </w:tcPr>
          <w:p w:rsidR="006E7310" w:rsidRPr="00000C68" w:rsidRDefault="006E7310" w:rsidP="006E7310">
            <w:pPr>
              <w:spacing w:after="0" w:line="240" w:lineRule="auto"/>
              <w:rPr>
                <w:rFonts w:eastAsia="Times New Roman" w:cs="Times New Roman"/>
                <w:color w:val="000000"/>
                <w:sz w:val="24"/>
                <w:szCs w:val="24"/>
                <w:lang w:eastAsia="en-AU"/>
              </w:rPr>
            </w:pPr>
          </w:p>
        </w:tc>
        <w:tc>
          <w:tcPr>
            <w:tcW w:w="1056" w:type="dxa"/>
            <w:tcBorders>
              <w:top w:val="nil"/>
              <w:left w:val="nil"/>
              <w:bottom w:val="nil"/>
              <w:right w:val="nil"/>
            </w:tcBorders>
            <w:shd w:val="clear" w:color="auto" w:fill="auto"/>
            <w:noWrap/>
            <w:vAlign w:val="bottom"/>
            <w:hideMark/>
          </w:tcPr>
          <w:p w:rsidR="006E7310" w:rsidRPr="00000C68" w:rsidRDefault="006E7310" w:rsidP="006E7310">
            <w:pPr>
              <w:spacing w:after="0" w:line="240" w:lineRule="auto"/>
              <w:rPr>
                <w:rFonts w:eastAsia="Times New Roman" w:cs="Times New Roman"/>
                <w:color w:val="000000"/>
                <w:sz w:val="24"/>
                <w:szCs w:val="24"/>
                <w:lang w:eastAsia="en-AU"/>
              </w:rPr>
            </w:pPr>
          </w:p>
        </w:tc>
        <w:tc>
          <w:tcPr>
            <w:tcW w:w="1056" w:type="dxa"/>
            <w:tcBorders>
              <w:top w:val="nil"/>
              <w:left w:val="nil"/>
              <w:bottom w:val="nil"/>
              <w:right w:val="nil"/>
            </w:tcBorders>
            <w:shd w:val="clear" w:color="auto" w:fill="auto"/>
            <w:noWrap/>
            <w:vAlign w:val="bottom"/>
            <w:hideMark/>
          </w:tcPr>
          <w:p w:rsidR="006E7310" w:rsidRPr="00000C68" w:rsidRDefault="006E7310" w:rsidP="006E7310">
            <w:pPr>
              <w:spacing w:after="0" w:line="240" w:lineRule="auto"/>
              <w:rPr>
                <w:rFonts w:eastAsia="Times New Roman" w:cs="Times New Roman"/>
                <w:color w:val="000000"/>
                <w:sz w:val="24"/>
                <w:szCs w:val="24"/>
                <w:lang w:eastAsia="en-AU"/>
              </w:rPr>
            </w:pPr>
          </w:p>
        </w:tc>
        <w:tc>
          <w:tcPr>
            <w:tcW w:w="1053" w:type="dxa"/>
            <w:tcBorders>
              <w:top w:val="nil"/>
              <w:left w:val="nil"/>
              <w:bottom w:val="nil"/>
              <w:right w:val="nil"/>
            </w:tcBorders>
            <w:shd w:val="clear" w:color="auto" w:fill="auto"/>
            <w:noWrap/>
            <w:vAlign w:val="bottom"/>
            <w:hideMark/>
          </w:tcPr>
          <w:p w:rsidR="006E7310" w:rsidRPr="00000C68" w:rsidRDefault="006E7310" w:rsidP="006E7310">
            <w:pPr>
              <w:spacing w:after="0" w:line="240" w:lineRule="auto"/>
              <w:rPr>
                <w:rFonts w:eastAsia="Times New Roman" w:cs="Times New Roman"/>
                <w:color w:val="000000"/>
                <w:sz w:val="24"/>
                <w:szCs w:val="24"/>
                <w:lang w:eastAsia="en-AU"/>
              </w:rPr>
            </w:pPr>
          </w:p>
        </w:tc>
      </w:tr>
      <w:tr w:rsidR="006E7310" w:rsidRPr="00000C68" w:rsidTr="00000C68">
        <w:trPr>
          <w:trHeight w:val="300"/>
        </w:trPr>
        <w:tc>
          <w:tcPr>
            <w:tcW w:w="3658" w:type="dxa"/>
            <w:tcBorders>
              <w:top w:val="nil"/>
              <w:left w:val="single" w:sz="4" w:space="0" w:color="auto"/>
              <w:bottom w:val="single" w:sz="4" w:space="0" w:color="auto"/>
              <w:right w:val="nil"/>
            </w:tcBorders>
            <w:shd w:val="clear" w:color="auto" w:fill="auto"/>
            <w:noWrap/>
            <w:vAlign w:val="bottom"/>
            <w:hideMark/>
          </w:tcPr>
          <w:p w:rsidR="006E7310" w:rsidRPr="00000C68" w:rsidRDefault="006E7310" w:rsidP="006E7310">
            <w:pPr>
              <w:spacing w:after="0" w:line="240" w:lineRule="auto"/>
              <w:rPr>
                <w:rFonts w:eastAsia="Times New Roman" w:cs="Times New Roman"/>
                <w:color w:val="000000"/>
                <w:sz w:val="24"/>
                <w:szCs w:val="24"/>
                <w:lang w:eastAsia="en-AU"/>
              </w:rPr>
            </w:pPr>
            <w:r w:rsidRPr="00000C68">
              <w:rPr>
                <w:rFonts w:eastAsia="Times New Roman" w:cs="Times New Roman"/>
                <w:color w:val="000000"/>
                <w:sz w:val="24"/>
                <w:szCs w:val="24"/>
                <w:lang w:eastAsia="en-AU"/>
              </w:rPr>
              <w:t>n</w:t>
            </w:r>
          </w:p>
        </w:tc>
        <w:tc>
          <w:tcPr>
            <w:tcW w:w="1056" w:type="dxa"/>
            <w:tcBorders>
              <w:top w:val="nil"/>
              <w:left w:val="nil"/>
              <w:bottom w:val="single" w:sz="4" w:space="0" w:color="auto"/>
              <w:right w:val="nil"/>
            </w:tcBorders>
            <w:shd w:val="clear" w:color="auto" w:fill="auto"/>
            <w:noWrap/>
            <w:vAlign w:val="bottom"/>
            <w:hideMark/>
          </w:tcPr>
          <w:p w:rsidR="006E7310" w:rsidRPr="00000C68" w:rsidRDefault="006E7310" w:rsidP="006E7310">
            <w:pPr>
              <w:spacing w:after="0" w:line="240" w:lineRule="auto"/>
              <w:jc w:val="right"/>
              <w:rPr>
                <w:rFonts w:eastAsia="Times New Roman" w:cs="Times New Roman"/>
                <w:b/>
                <w:bCs/>
                <w:color w:val="000000"/>
                <w:sz w:val="24"/>
                <w:szCs w:val="24"/>
                <w:lang w:eastAsia="en-AU"/>
              </w:rPr>
            </w:pPr>
            <w:r w:rsidRPr="00000C68">
              <w:rPr>
                <w:rFonts w:eastAsia="Times New Roman" w:cs="Times New Roman"/>
                <w:b/>
                <w:bCs/>
                <w:color w:val="000000"/>
                <w:sz w:val="24"/>
                <w:szCs w:val="24"/>
                <w:lang w:eastAsia="en-AU"/>
              </w:rPr>
              <w:t>64.2</w:t>
            </w:r>
          </w:p>
        </w:tc>
        <w:tc>
          <w:tcPr>
            <w:tcW w:w="1056" w:type="dxa"/>
            <w:tcBorders>
              <w:top w:val="nil"/>
              <w:left w:val="nil"/>
              <w:bottom w:val="single" w:sz="4" w:space="0" w:color="auto"/>
              <w:right w:val="nil"/>
            </w:tcBorders>
            <w:shd w:val="clear" w:color="auto" w:fill="auto"/>
            <w:noWrap/>
            <w:vAlign w:val="bottom"/>
            <w:hideMark/>
          </w:tcPr>
          <w:p w:rsidR="006E7310" w:rsidRPr="00000C68" w:rsidRDefault="006E7310" w:rsidP="006E7310">
            <w:pPr>
              <w:spacing w:after="0" w:line="240" w:lineRule="auto"/>
              <w:jc w:val="right"/>
              <w:rPr>
                <w:rFonts w:eastAsia="Times New Roman" w:cs="Times New Roman"/>
                <w:b/>
                <w:bCs/>
                <w:color w:val="000000"/>
                <w:sz w:val="24"/>
                <w:szCs w:val="24"/>
                <w:lang w:eastAsia="en-AU"/>
              </w:rPr>
            </w:pPr>
            <w:r w:rsidRPr="00000C68">
              <w:rPr>
                <w:rFonts w:eastAsia="Times New Roman" w:cs="Times New Roman"/>
                <w:b/>
                <w:bCs/>
                <w:color w:val="000000"/>
                <w:sz w:val="24"/>
                <w:szCs w:val="24"/>
                <w:lang w:eastAsia="en-AU"/>
              </w:rPr>
              <w:t>76.0</w:t>
            </w:r>
          </w:p>
        </w:tc>
        <w:tc>
          <w:tcPr>
            <w:tcW w:w="1056" w:type="dxa"/>
            <w:tcBorders>
              <w:top w:val="nil"/>
              <w:left w:val="nil"/>
              <w:bottom w:val="single" w:sz="4" w:space="0" w:color="auto"/>
              <w:right w:val="nil"/>
            </w:tcBorders>
            <w:shd w:val="clear" w:color="auto" w:fill="auto"/>
            <w:noWrap/>
            <w:vAlign w:val="bottom"/>
            <w:hideMark/>
          </w:tcPr>
          <w:p w:rsidR="006E7310" w:rsidRPr="00000C68" w:rsidRDefault="006E7310" w:rsidP="006E7310">
            <w:pPr>
              <w:spacing w:after="0" w:line="240" w:lineRule="auto"/>
              <w:jc w:val="right"/>
              <w:rPr>
                <w:rFonts w:eastAsia="Times New Roman" w:cs="Times New Roman"/>
                <w:b/>
                <w:bCs/>
                <w:color w:val="000000"/>
                <w:sz w:val="24"/>
                <w:szCs w:val="24"/>
                <w:lang w:eastAsia="en-AU"/>
              </w:rPr>
            </w:pPr>
            <w:r w:rsidRPr="00000C68">
              <w:rPr>
                <w:rFonts w:eastAsia="Times New Roman" w:cs="Times New Roman"/>
                <w:b/>
                <w:bCs/>
                <w:color w:val="000000"/>
                <w:sz w:val="24"/>
                <w:szCs w:val="24"/>
                <w:lang w:eastAsia="en-AU"/>
              </w:rPr>
              <w:t>86.7</w:t>
            </w:r>
          </w:p>
        </w:tc>
        <w:tc>
          <w:tcPr>
            <w:tcW w:w="1053" w:type="dxa"/>
            <w:tcBorders>
              <w:top w:val="nil"/>
              <w:left w:val="nil"/>
              <w:bottom w:val="single" w:sz="4" w:space="0" w:color="auto"/>
              <w:right w:val="nil"/>
            </w:tcBorders>
            <w:shd w:val="clear" w:color="auto" w:fill="auto"/>
            <w:noWrap/>
            <w:vAlign w:val="bottom"/>
            <w:hideMark/>
          </w:tcPr>
          <w:p w:rsidR="006E7310" w:rsidRPr="00000C68" w:rsidRDefault="006E7310" w:rsidP="006E7310">
            <w:pPr>
              <w:spacing w:after="0" w:line="240" w:lineRule="auto"/>
              <w:jc w:val="right"/>
              <w:rPr>
                <w:rFonts w:eastAsia="Times New Roman" w:cs="Times New Roman"/>
                <w:color w:val="000000"/>
                <w:sz w:val="24"/>
                <w:szCs w:val="24"/>
                <w:lang w:eastAsia="en-AU"/>
              </w:rPr>
            </w:pPr>
            <w:r w:rsidRPr="00000C68">
              <w:rPr>
                <w:rFonts w:eastAsia="Times New Roman" w:cs="Times New Roman"/>
                <w:color w:val="000000"/>
                <w:sz w:val="24"/>
                <w:szCs w:val="24"/>
                <w:lang w:eastAsia="en-AU"/>
              </w:rPr>
              <w:t>99.9</w:t>
            </w:r>
          </w:p>
        </w:tc>
      </w:tr>
    </w:tbl>
    <w:p w:rsidR="006E7310" w:rsidRPr="00000C68" w:rsidRDefault="006E7310" w:rsidP="00C76464">
      <w:pPr>
        <w:rPr>
          <w:sz w:val="24"/>
          <w:szCs w:val="24"/>
        </w:rPr>
      </w:pPr>
    </w:p>
    <w:p w:rsidR="00C76464" w:rsidRPr="00000C68" w:rsidRDefault="00C76464" w:rsidP="00C76464">
      <w:pPr>
        <w:rPr>
          <w:b/>
          <w:sz w:val="24"/>
          <w:szCs w:val="24"/>
        </w:rPr>
      </w:pPr>
      <w:r w:rsidRPr="00000C68">
        <w:rPr>
          <w:b/>
          <w:sz w:val="24"/>
          <w:szCs w:val="24"/>
        </w:rPr>
        <w:t>Power calculations for a reduction in the proportion experiencing a severe exacerbation</w:t>
      </w:r>
    </w:p>
    <w:p w:rsidR="00C76464" w:rsidRPr="00000C68" w:rsidRDefault="00C76464" w:rsidP="00C76464">
      <w:pPr>
        <w:rPr>
          <w:sz w:val="24"/>
          <w:szCs w:val="24"/>
        </w:rPr>
      </w:pPr>
      <w:r w:rsidRPr="00000C68">
        <w:rPr>
          <w:sz w:val="24"/>
          <w:szCs w:val="24"/>
        </w:rPr>
        <w:t>The average AMAZES proportion experiencing a severe exacerbation in the NEA group=36/134 (27%)</w:t>
      </w:r>
    </w:p>
    <w:tbl>
      <w:tblPr>
        <w:tblStyle w:val="TableGrid"/>
        <w:tblW w:w="0" w:type="auto"/>
        <w:tblLook w:val="04A0" w:firstRow="1" w:lastRow="0" w:firstColumn="1" w:lastColumn="0" w:noHBand="0" w:noVBand="1"/>
      </w:tblPr>
      <w:tblGrid>
        <w:gridCol w:w="1668"/>
        <w:gridCol w:w="2126"/>
        <w:gridCol w:w="1559"/>
        <w:gridCol w:w="851"/>
      </w:tblGrid>
      <w:tr w:rsidR="00C76464" w:rsidRPr="00470234" w:rsidTr="002B4B22">
        <w:tc>
          <w:tcPr>
            <w:tcW w:w="1668" w:type="dxa"/>
          </w:tcPr>
          <w:p w:rsidR="00C76464" w:rsidRPr="00000C68" w:rsidRDefault="00C76464" w:rsidP="002B4B22">
            <w:pPr>
              <w:rPr>
                <w:sz w:val="24"/>
                <w:szCs w:val="24"/>
              </w:rPr>
            </w:pPr>
            <w:r w:rsidRPr="00000C68">
              <w:rPr>
                <w:sz w:val="24"/>
                <w:szCs w:val="24"/>
              </w:rPr>
              <w:t>Reduction %</w:t>
            </w:r>
          </w:p>
        </w:tc>
        <w:tc>
          <w:tcPr>
            <w:tcW w:w="2126" w:type="dxa"/>
          </w:tcPr>
          <w:p w:rsidR="00C76464" w:rsidRPr="00000C68" w:rsidRDefault="00C76464" w:rsidP="002B4B22">
            <w:pPr>
              <w:jc w:val="center"/>
              <w:rPr>
                <w:sz w:val="24"/>
                <w:szCs w:val="24"/>
              </w:rPr>
            </w:pPr>
            <w:r w:rsidRPr="00000C68">
              <w:rPr>
                <w:sz w:val="24"/>
                <w:szCs w:val="24"/>
              </w:rPr>
              <w:t xml:space="preserve">Placebo % </w:t>
            </w:r>
            <w:proofErr w:type="spellStart"/>
            <w:r w:rsidRPr="00000C68">
              <w:rPr>
                <w:sz w:val="24"/>
                <w:szCs w:val="24"/>
              </w:rPr>
              <w:t>exacerbator</w:t>
            </w:r>
            <w:proofErr w:type="spellEnd"/>
          </w:p>
        </w:tc>
        <w:tc>
          <w:tcPr>
            <w:tcW w:w="1559" w:type="dxa"/>
          </w:tcPr>
          <w:p w:rsidR="00C76464" w:rsidRPr="00000C68" w:rsidRDefault="00C76464" w:rsidP="002B4B22">
            <w:pPr>
              <w:jc w:val="center"/>
              <w:rPr>
                <w:sz w:val="24"/>
                <w:szCs w:val="24"/>
              </w:rPr>
            </w:pPr>
            <w:r w:rsidRPr="00000C68">
              <w:rPr>
                <w:sz w:val="24"/>
                <w:szCs w:val="24"/>
              </w:rPr>
              <w:t xml:space="preserve">AZM  % </w:t>
            </w:r>
            <w:proofErr w:type="spellStart"/>
            <w:r w:rsidRPr="00000C68">
              <w:rPr>
                <w:sz w:val="24"/>
                <w:szCs w:val="24"/>
              </w:rPr>
              <w:t>exacerbator</w:t>
            </w:r>
            <w:proofErr w:type="spellEnd"/>
          </w:p>
        </w:tc>
        <w:tc>
          <w:tcPr>
            <w:tcW w:w="851" w:type="dxa"/>
          </w:tcPr>
          <w:p w:rsidR="00C76464" w:rsidRPr="00000C68" w:rsidRDefault="00C76464" w:rsidP="002B4B22">
            <w:pPr>
              <w:jc w:val="center"/>
              <w:rPr>
                <w:sz w:val="24"/>
                <w:szCs w:val="24"/>
              </w:rPr>
            </w:pPr>
            <w:r w:rsidRPr="00000C68">
              <w:rPr>
                <w:sz w:val="24"/>
                <w:szCs w:val="24"/>
              </w:rPr>
              <w:t>Power</w:t>
            </w:r>
          </w:p>
        </w:tc>
      </w:tr>
      <w:tr w:rsidR="00C76464" w:rsidRPr="00470234" w:rsidTr="002B4B22">
        <w:tc>
          <w:tcPr>
            <w:tcW w:w="1668" w:type="dxa"/>
          </w:tcPr>
          <w:p w:rsidR="00C76464" w:rsidRPr="00000C68" w:rsidRDefault="00C76464" w:rsidP="002B4B22">
            <w:pPr>
              <w:rPr>
                <w:sz w:val="24"/>
                <w:szCs w:val="24"/>
              </w:rPr>
            </w:pPr>
            <w:r w:rsidRPr="00000C68">
              <w:rPr>
                <w:sz w:val="24"/>
                <w:szCs w:val="24"/>
              </w:rPr>
              <w:t>50%</w:t>
            </w:r>
          </w:p>
        </w:tc>
        <w:tc>
          <w:tcPr>
            <w:tcW w:w="2126" w:type="dxa"/>
          </w:tcPr>
          <w:p w:rsidR="00C76464" w:rsidRPr="00000C68" w:rsidRDefault="00C76464" w:rsidP="002B4B22">
            <w:pPr>
              <w:jc w:val="center"/>
              <w:rPr>
                <w:sz w:val="24"/>
                <w:szCs w:val="24"/>
              </w:rPr>
            </w:pPr>
            <w:r w:rsidRPr="00000C68">
              <w:rPr>
                <w:sz w:val="24"/>
                <w:szCs w:val="24"/>
              </w:rPr>
              <w:t>36</w:t>
            </w:r>
          </w:p>
        </w:tc>
        <w:tc>
          <w:tcPr>
            <w:tcW w:w="1559" w:type="dxa"/>
          </w:tcPr>
          <w:p w:rsidR="00C76464" w:rsidRPr="00000C68" w:rsidRDefault="00C76464" w:rsidP="002B4B22">
            <w:pPr>
              <w:jc w:val="center"/>
              <w:rPr>
                <w:sz w:val="24"/>
                <w:szCs w:val="24"/>
              </w:rPr>
            </w:pPr>
            <w:r w:rsidRPr="00000C68">
              <w:rPr>
                <w:sz w:val="24"/>
                <w:szCs w:val="24"/>
              </w:rPr>
              <w:t>18</w:t>
            </w:r>
          </w:p>
        </w:tc>
        <w:tc>
          <w:tcPr>
            <w:tcW w:w="851" w:type="dxa"/>
          </w:tcPr>
          <w:p w:rsidR="00C76464" w:rsidRPr="00000C68" w:rsidRDefault="00C76464" w:rsidP="002B4B22">
            <w:pPr>
              <w:jc w:val="center"/>
              <w:rPr>
                <w:sz w:val="24"/>
                <w:szCs w:val="24"/>
              </w:rPr>
            </w:pPr>
            <w:r w:rsidRPr="00000C68">
              <w:rPr>
                <w:sz w:val="24"/>
                <w:szCs w:val="24"/>
              </w:rPr>
              <w:t>92</w:t>
            </w:r>
          </w:p>
        </w:tc>
      </w:tr>
      <w:tr w:rsidR="00C76464" w:rsidRPr="00470234" w:rsidTr="002B4B22">
        <w:tc>
          <w:tcPr>
            <w:tcW w:w="1668" w:type="dxa"/>
          </w:tcPr>
          <w:p w:rsidR="00C76464" w:rsidRPr="00000C68" w:rsidRDefault="00C76464" w:rsidP="002B4B22">
            <w:pPr>
              <w:rPr>
                <w:sz w:val="24"/>
                <w:szCs w:val="24"/>
              </w:rPr>
            </w:pPr>
            <w:r w:rsidRPr="00000C68">
              <w:rPr>
                <w:sz w:val="24"/>
                <w:szCs w:val="24"/>
              </w:rPr>
              <w:t>41%</w:t>
            </w:r>
          </w:p>
        </w:tc>
        <w:tc>
          <w:tcPr>
            <w:tcW w:w="2126" w:type="dxa"/>
          </w:tcPr>
          <w:p w:rsidR="00C76464" w:rsidRPr="00000C68" w:rsidRDefault="00C76464" w:rsidP="002B4B22">
            <w:pPr>
              <w:jc w:val="center"/>
              <w:rPr>
                <w:sz w:val="24"/>
                <w:szCs w:val="24"/>
              </w:rPr>
            </w:pPr>
            <w:r w:rsidRPr="00000C68">
              <w:rPr>
                <w:sz w:val="24"/>
                <w:szCs w:val="24"/>
              </w:rPr>
              <w:t>34</w:t>
            </w:r>
          </w:p>
        </w:tc>
        <w:tc>
          <w:tcPr>
            <w:tcW w:w="1559" w:type="dxa"/>
          </w:tcPr>
          <w:p w:rsidR="00C76464" w:rsidRPr="00000C68" w:rsidRDefault="00C76464" w:rsidP="002B4B22">
            <w:pPr>
              <w:jc w:val="center"/>
              <w:rPr>
                <w:sz w:val="24"/>
                <w:szCs w:val="24"/>
              </w:rPr>
            </w:pPr>
            <w:r w:rsidRPr="00000C68">
              <w:rPr>
                <w:sz w:val="24"/>
                <w:szCs w:val="24"/>
              </w:rPr>
              <w:t>20</w:t>
            </w:r>
          </w:p>
        </w:tc>
        <w:tc>
          <w:tcPr>
            <w:tcW w:w="851" w:type="dxa"/>
          </w:tcPr>
          <w:p w:rsidR="00C76464" w:rsidRPr="00000C68" w:rsidRDefault="00C76464" w:rsidP="002B4B22">
            <w:pPr>
              <w:jc w:val="center"/>
              <w:rPr>
                <w:sz w:val="24"/>
                <w:szCs w:val="24"/>
              </w:rPr>
            </w:pPr>
            <w:r w:rsidRPr="00000C68">
              <w:rPr>
                <w:sz w:val="24"/>
                <w:szCs w:val="24"/>
              </w:rPr>
              <w:t>74</w:t>
            </w:r>
          </w:p>
        </w:tc>
      </w:tr>
      <w:tr w:rsidR="00C76464" w:rsidRPr="00470234" w:rsidTr="002B4B22">
        <w:tc>
          <w:tcPr>
            <w:tcW w:w="1668" w:type="dxa"/>
          </w:tcPr>
          <w:p w:rsidR="00C76464" w:rsidRPr="00000C68" w:rsidRDefault="00C76464" w:rsidP="002B4B22">
            <w:pPr>
              <w:rPr>
                <w:sz w:val="24"/>
                <w:szCs w:val="24"/>
              </w:rPr>
            </w:pPr>
            <w:r w:rsidRPr="00000C68">
              <w:rPr>
                <w:sz w:val="24"/>
                <w:szCs w:val="24"/>
              </w:rPr>
              <w:t>31%</w:t>
            </w:r>
          </w:p>
        </w:tc>
        <w:tc>
          <w:tcPr>
            <w:tcW w:w="2126" w:type="dxa"/>
          </w:tcPr>
          <w:p w:rsidR="00C76464" w:rsidRPr="00000C68" w:rsidRDefault="00C76464" w:rsidP="002B4B22">
            <w:pPr>
              <w:jc w:val="center"/>
              <w:rPr>
                <w:sz w:val="24"/>
                <w:szCs w:val="24"/>
              </w:rPr>
            </w:pPr>
            <w:r w:rsidRPr="00000C68">
              <w:rPr>
                <w:sz w:val="24"/>
                <w:szCs w:val="24"/>
              </w:rPr>
              <w:t>32</w:t>
            </w:r>
          </w:p>
        </w:tc>
        <w:tc>
          <w:tcPr>
            <w:tcW w:w="1559" w:type="dxa"/>
          </w:tcPr>
          <w:p w:rsidR="00C76464" w:rsidRPr="00000C68" w:rsidRDefault="00C76464" w:rsidP="002B4B22">
            <w:pPr>
              <w:jc w:val="center"/>
              <w:rPr>
                <w:sz w:val="24"/>
                <w:szCs w:val="24"/>
              </w:rPr>
            </w:pPr>
            <w:r w:rsidRPr="00000C68">
              <w:rPr>
                <w:sz w:val="24"/>
                <w:szCs w:val="24"/>
              </w:rPr>
              <w:t>22</w:t>
            </w:r>
          </w:p>
        </w:tc>
        <w:tc>
          <w:tcPr>
            <w:tcW w:w="851" w:type="dxa"/>
          </w:tcPr>
          <w:p w:rsidR="00C76464" w:rsidRPr="00000C68" w:rsidRDefault="00C76464" w:rsidP="002B4B22">
            <w:pPr>
              <w:jc w:val="center"/>
              <w:rPr>
                <w:sz w:val="24"/>
                <w:szCs w:val="24"/>
              </w:rPr>
            </w:pPr>
            <w:r w:rsidRPr="00000C68">
              <w:rPr>
                <w:sz w:val="24"/>
                <w:szCs w:val="24"/>
              </w:rPr>
              <w:t>45</w:t>
            </w:r>
          </w:p>
        </w:tc>
      </w:tr>
    </w:tbl>
    <w:p w:rsidR="00C76464" w:rsidRDefault="00C76464" w:rsidP="00CF63AA">
      <w:pPr>
        <w:pStyle w:val="Heading3"/>
        <w:numPr>
          <w:ilvl w:val="0"/>
          <w:numId w:val="0"/>
        </w:numPr>
        <w:rPr>
          <w:rFonts w:asciiTheme="minorHAnsi" w:hAnsiTheme="minorHAnsi"/>
          <w:sz w:val="24"/>
          <w:szCs w:val="24"/>
        </w:rPr>
      </w:pPr>
    </w:p>
    <w:p w:rsidR="00CF63AA" w:rsidRPr="00CF63AA" w:rsidRDefault="00CF63AA" w:rsidP="00CF63AA">
      <w:pPr>
        <w:pStyle w:val="Heading3"/>
        <w:numPr>
          <w:ilvl w:val="0"/>
          <w:numId w:val="0"/>
        </w:numPr>
        <w:rPr>
          <w:rFonts w:asciiTheme="minorHAnsi" w:hAnsiTheme="minorHAnsi"/>
          <w:sz w:val="24"/>
          <w:szCs w:val="24"/>
        </w:rPr>
      </w:pPr>
      <w:bookmarkStart w:id="9" w:name="_Toc316565922"/>
      <w:bookmarkEnd w:id="7"/>
      <w:r w:rsidRPr="00CF63AA">
        <w:rPr>
          <w:rFonts w:asciiTheme="minorHAnsi" w:hAnsiTheme="minorHAnsi"/>
          <w:sz w:val="24"/>
          <w:szCs w:val="24"/>
        </w:rPr>
        <w:t>Health Status (Quality of Life, AQLQ)</w:t>
      </w:r>
      <w:bookmarkEnd w:id="9"/>
      <w:r w:rsidRPr="00CF63AA">
        <w:rPr>
          <w:rFonts w:asciiTheme="minorHAnsi" w:hAnsiTheme="minorHAnsi"/>
          <w:sz w:val="24"/>
          <w:szCs w:val="24"/>
        </w:rPr>
        <w:t xml:space="preserve"> </w:t>
      </w:r>
    </w:p>
    <w:p w:rsidR="00412CD7" w:rsidRPr="00CF63AA" w:rsidRDefault="00CF63AA" w:rsidP="00CF63AA">
      <w:pPr>
        <w:rPr>
          <w:sz w:val="24"/>
          <w:szCs w:val="24"/>
        </w:rPr>
      </w:pPr>
      <w:r w:rsidRPr="00C76464">
        <w:rPr>
          <w:color w:val="000000"/>
          <w:sz w:val="24"/>
          <w:szCs w:val="24"/>
        </w:rPr>
        <w:t>The effect of azithromycin on health status will be examined in the 2 strata of EA and NEA</w:t>
      </w:r>
      <w:r w:rsidRPr="00CF63AA">
        <w:rPr>
          <w:color w:val="000000"/>
          <w:sz w:val="24"/>
          <w:szCs w:val="24"/>
        </w:rPr>
        <w:t>.  Based on (32), 20% of the control group have a clinically significant improvement in QOL (i.e. a &gt; 0.5 unit improvement in their AQLQ score) the study will have 80% power to detect a clinically significant improvement in 33% of patients in the active treatment group (i.e. a 13% difference).</w:t>
      </w:r>
      <w:proofErr w:type="gramStart"/>
      <w:r w:rsidRPr="00CF63AA">
        <w:rPr>
          <w:color w:val="000000"/>
          <w:sz w:val="24"/>
          <w:szCs w:val="24"/>
          <w:vertAlign w:val="superscript"/>
        </w:rPr>
        <w:t>32</w:t>
      </w:r>
      <w:r w:rsidRPr="00CF63AA">
        <w:rPr>
          <w:color w:val="000000"/>
          <w:sz w:val="24"/>
          <w:szCs w:val="24"/>
        </w:rPr>
        <w:t xml:space="preserve">  In</w:t>
      </w:r>
      <w:proofErr w:type="gramEnd"/>
      <w:r w:rsidRPr="00CF63AA">
        <w:rPr>
          <w:color w:val="000000"/>
          <w:sz w:val="24"/>
          <w:szCs w:val="24"/>
        </w:rPr>
        <w:t xml:space="preserve"> order to detect the same effect on health status</w:t>
      </w:r>
    </w:p>
    <w:p w:rsidR="00412CD7" w:rsidRPr="00CF63AA" w:rsidRDefault="00412CD7" w:rsidP="00412CD7">
      <w:pPr>
        <w:pStyle w:val="Heading2"/>
        <w:numPr>
          <w:ilvl w:val="0"/>
          <w:numId w:val="0"/>
        </w:numPr>
        <w:rPr>
          <w:rFonts w:asciiTheme="minorHAnsi" w:hAnsiTheme="minorHAnsi"/>
          <w:sz w:val="24"/>
          <w:szCs w:val="24"/>
        </w:rPr>
      </w:pPr>
      <w:bookmarkStart w:id="10" w:name="_Toc316565923"/>
      <w:r w:rsidRPr="00CF63AA">
        <w:rPr>
          <w:rFonts w:asciiTheme="minorHAnsi" w:hAnsiTheme="minorHAnsi"/>
          <w:sz w:val="24"/>
          <w:szCs w:val="24"/>
        </w:rPr>
        <w:t xml:space="preserve">Analysis (supervised by Associate Investigator </w:t>
      </w:r>
      <w:proofErr w:type="spellStart"/>
      <w:r w:rsidRPr="00CF63AA">
        <w:rPr>
          <w:rFonts w:asciiTheme="minorHAnsi" w:hAnsiTheme="minorHAnsi"/>
          <w:sz w:val="24"/>
          <w:szCs w:val="24"/>
        </w:rPr>
        <w:t>Dr.</w:t>
      </w:r>
      <w:proofErr w:type="spellEnd"/>
      <w:r w:rsidRPr="00CF63AA">
        <w:rPr>
          <w:rFonts w:asciiTheme="minorHAnsi" w:hAnsiTheme="minorHAnsi"/>
          <w:sz w:val="24"/>
          <w:szCs w:val="24"/>
        </w:rPr>
        <w:t xml:space="preserve"> Patrick </w:t>
      </w:r>
      <w:proofErr w:type="spellStart"/>
      <w:r w:rsidRPr="00CF63AA">
        <w:rPr>
          <w:rFonts w:asciiTheme="minorHAnsi" w:hAnsiTheme="minorHAnsi"/>
          <w:sz w:val="24"/>
          <w:szCs w:val="24"/>
        </w:rPr>
        <w:t>McElduff</w:t>
      </w:r>
      <w:proofErr w:type="spellEnd"/>
      <w:r w:rsidRPr="00CF63AA">
        <w:rPr>
          <w:rFonts w:asciiTheme="minorHAnsi" w:hAnsiTheme="minorHAnsi"/>
          <w:sz w:val="24"/>
          <w:szCs w:val="24"/>
        </w:rPr>
        <w:t>)</w:t>
      </w:r>
      <w:bookmarkEnd w:id="10"/>
      <w:r w:rsidRPr="00CF63AA">
        <w:rPr>
          <w:rFonts w:asciiTheme="minorHAnsi" w:hAnsiTheme="minorHAnsi"/>
          <w:sz w:val="24"/>
          <w:szCs w:val="24"/>
        </w:rPr>
        <w:t xml:space="preserve"> </w:t>
      </w:r>
    </w:p>
    <w:p w:rsidR="00412CD7" w:rsidRPr="00CF63AA" w:rsidRDefault="00412CD7" w:rsidP="00412CD7">
      <w:pPr>
        <w:pStyle w:val="BodyText"/>
        <w:spacing w:before="120"/>
        <w:rPr>
          <w:rFonts w:asciiTheme="minorHAnsi" w:hAnsiTheme="minorHAnsi"/>
          <w:color w:val="000000"/>
          <w:sz w:val="24"/>
          <w:szCs w:val="24"/>
        </w:rPr>
      </w:pPr>
      <w:r w:rsidRPr="00CF63AA">
        <w:rPr>
          <w:rFonts w:asciiTheme="minorHAnsi" w:hAnsiTheme="minorHAnsi"/>
          <w:color w:val="000000"/>
          <w:sz w:val="24"/>
          <w:szCs w:val="24"/>
          <w:u w:val="single"/>
        </w:rPr>
        <w:t>Hypothesis 1</w:t>
      </w:r>
      <w:r w:rsidRPr="00CF63AA">
        <w:rPr>
          <w:rFonts w:asciiTheme="minorHAnsi" w:hAnsiTheme="minorHAnsi"/>
          <w:color w:val="000000"/>
          <w:sz w:val="24"/>
          <w:szCs w:val="24"/>
        </w:rPr>
        <w:t xml:space="preserve"> will be examined using a negative binomial model.</w:t>
      </w:r>
      <w:r w:rsidRPr="00CF63AA">
        <w:rPr>
          <w:rFonts w:asciiTheme="minorHAnsi" w:hAnsiTheme="minorHAnsi"/>
          <w:color w:val="000000"/>
          <w:sz w:val="24"/>
          <w:szCs w:val="24"/>
          <w:vertAlign w:val="superscript"/>
        </w:rPr>
        <w:t>46</w:t>
      </w:r>
      <w:r w:rsidRPr="00CF63AA">
        <w:rPr>
          <w:rFonts w:asciiTheme="minorHAnsi" w:hAnsiTheme="minorHAnsi"/>
          <w:color w:val="000000"/>
          <w:sz w:val="24"/>
          <w:szCs w:val="24"/>
        </w:rPr>
        <w:t xml:space="preserve">  This is a flexible extension of the Poisson regression model with allowance for extra Poisson variation (over dispersion) that is usually observed in count data, including over dispersion of counts of exacerbations among asthma patients.  The outcome of interest in the model will be the number of exacerbations experienced by each patient.  The predictor of interest in the model will be treatment group with length of follow-up included as an offset.  The model assumes that the event rates do not vary with time and therefore patients can be included in the analysis even if they only contribute data for part of the follow-up period.  The offset variable adjusts for the difference in follow-up times. </w:t>
      </w:r>
    </w:p>
    <w:p w:rsidR="00412CD7" w:rsidRPr="00CF63AA" w:rsidRDefault="00412CD7" w:rsidP="00412CD7">
      <w:pPr>
        <w:pStyle w:val="BodyText"/>
        <w:spacing w:before="120"/>
        <w:rPr>
          <w:rFonts w:asciiTheme="minorHAnsi" w:hAnsiTheme="minorHAnsi"/>
          <w:color w:val="000000"/>
          <w:sz w:val="24"/>
          <w:szCs w:val="24"/>
        </w:rPr>
      </w:pPr>
      <w:r w:rsidRPr="00CF63AA">
        <w:rPr>
          <w:rFonts w:asciiTheme="minorHAnsi" w:hAnsiTheme="minorHAnsi"/>
          <w:color w:val="000000"/>
          <w:sz w:val="24"/>
          <w:szCs w:val="24"/>
        </w:rPr>
        <w:lastRenderedPageBreak/>
        <w:t xml:space="preserve">Additional analysis will explore differences in the time to first exacerbation between patients treated with Azithromycin and those treated with placebo.  The data will be presented graphically using Kaplan-Meier plots and differences in survival curves tested using log-rank test.  The hazard ratio between treatment groups will be estimated using a Cox proportional hazards model. </w:t>
      </w:r>
    </w:p>
    <w:p w:rsidR="00412CD7" w:rsidRPr="00CF63AA" w:rsidRDefault="00412CD7" w:rsidP="00412CD7">
      <w:pPr>
        <w:pStyle w:val="BodyText"/>
        <w:spacing w:before="120"/>
        <w:rPr>
          <w:rFonts w:asciiTheme="minorHAnsi" w:hAnsiTheme="minorHAnsi"/>
          <w:color w:val="000000"/>
          <w:sz w:val="24"/>
          <w:szCs w:val="24"/>
        </w:rPr>
      </w:pPr>
      <w:r w:rsidRPr="00CF63AA">
        <w:rPr>
          <w:rFonts w:asciiTheme="minorHAnsi" w:hAnsiTheme="minorHAnsi"/>
          <w:color w:val="000000"/>
          <w:sz w:val="24"/>
          <w:szCs w:val="24"/>
          <w:u w:val="single"/>
        </w:rPr>
        <w:t>Hypothesis 2</w:t>
      </w:r>
      <w:r w:rsidRPr="00CF63AA">
        <w:rPr>
          <w:rFonts w:asciiTheme="minorHAnsi" w:hAnsiTheme="minorHAnsi"/>
          <w:color w:val="000000"/>
          <w:sz w:val="24"/>
          <w:szCs w:val="24"/>
        </w:rPr>
        <w:t xml:space="preserve"> will be tested using analysis of covariance.  Separate models will be fitted with health status (AQLQ) and asthma symptom score at 48 weeks as the outcome of interest.  The predictor variable of interest in the analysis of variance models will be treatment with baseline level of health status or asthma symptom score included as a covariate.  To examine if there is a greater benefit of treatment among patients with NEA, NEA status and an interaction term between treatment and NEA status will be included in the model.  The p</w:t>
      </w:r>
      <w:r w:rsidRPr="00CF63AA">
        <w:rPr>
          <w:rFonts w:asciiTheme="minorHAnsi" w:hAnsiTheme="minorHAnsi"/>
          <w:color w:val="000000"/>
          <w:sz w:val="24"/>
          <w:szCs w:val="24"/>
        </w:rPr>
        <w:noBreakHyphen/>
        <w:t xml:space="preserve">value of the interaction term will indicate if there is a statistically significant difference in the treatment effect between eosinophilic and non-eosinophilic patients. </w:t>
      </w:r>
    </w:p>
    <w:p w:rsidR="0028395B" w:rsidRDefault="00412CD7" w:rsidP="00000C68">
      <w:pPr>
        <w:pStyle w:val="BodyText"/>
        <w:spacing w:before="120"/>
        <w:jc w:val="left"/>
        <w:rPr>
          <w:sz w:val="24"/>
          <w:szCs w:val="24"/>
        </w:rPr>
      </w:pPr>
      <w:r w:rsidRPr="00CF63AA">
        <w:rPr>
          <w:rFonts w:asciiTheme="minorHAnsi" w:hAnsiTheme="minorHAnsi"/>
          <w:color w:val="000000"/>
          <w:sz w:val="24"/>
          <w:szCs w:val="24"/>
        </w:rPr>
        <w:t xml:space="preserve">Other outcomes of interest such as ICS dosage, </w:t>
      </w:r>
      <w:r w:rsidRPr="00CF63AA">
        <w:rPr>
          <w:rFonts w:asciiTheme="minorHAnsi" w:hAnsiTheme="minorHAnsi"/>
          <w:color w:val="000000"/>
          <w:sz w:val="24"/>
          <w:szCs w:val="24"/>
        </w:rPr>
        <w:t></w:t>
      </w:r>
      <w:r w:rsidRPr="00CF63AA">
        <w:rPr>
          <w:rFonts w:asciiTheme="minorHAnsi" w:hAnsiTheme="minorHAnsi"/>
          <w:color w:val="000000"/>
          <w:sz w:val="24"/>
          <w:szCs w:val="24"/>
          <w:vertAlign w:val="subscript"/>
        </w:rPr>
        <w:t>2</w:t>
      </w:r>
      <w:r w:rsidRPr="00CF63AA">
        <w:rPr>
          <w:rFonts w:asciiTheme="minorHAnsi" w:hAnsiTheme="minorHAnsi"/>
          <w:color w:val="000000"/>
          <w:sz w:val="24"/>
          <w:szCs w:val="24"/>
        </w:rPr>
        <w:t xml:space="preserve">-agonist use, and questionnaire results will be also be analysed using analysis of covariance.  Data will be analysed on an intention-to-treat basis using 2-sided tests with p values &lt;0.05 considered statistically significant.  </w:t>
      </w:r>
      <w:r w:rsidRPr="00C76464">
        <w:rPr>
          <w:rFonts w:asciiTheme="minorHAnsi" w:hAnsiTheme="minorHAnsi"/>
          <w:color w:val="000000"/>
          <w:sz w:val="24"/>
          <w:szCs w:val="24"/>
        </w:rPr>
        <w:t xml:space="preserve">The analysis will be repeated on </w:t>
      </w:r>
      <w:proofErr w:type="gramStart"/>
      <w:r w:rsidRPr="00C76464">
        <w:rPr>
          <w:rFonts w:asciiTheme="minorHAnsi" w:hAnsiTheme="minorHAnsi"/>
          <w:color w:val="000000"/>
          <w:sz w:val="24"/>
          <w:szCs w:val="24"/>
        </w:rPr>
        <w:t>the per</w:t>
      </w:r>
      <w:proofErr w:type="gramEnd"/>
      <w:r w:rsidRPr="00C76464">
        <w:rPr>
          <w:rFonts w:asciiTheme="minorHAnsi" w:hAnsiTheme="minorHAnsi"/>
          <w:color w:val="000000"/>
          <w:sz w:val="24"/>
          <w:szCs w:val="24"/>
        </w:rPr>
        <w:t xml:space="preserve"> protocol population and all analyses will be repeated by NEA status.</w:t>
      </w:r>
      <w:r w:rsidRPr="00CF63AA">
        <w:rPr>
          <w:rFonts w:asciiTheme="minorHAnsi" w:hAnsiTheme="minorHAnsi"/>
          <w:color w:val="000000"/>
          <w:sz w:val="24"/>
          <w:szCs w:val="24"/>
        </w:rPr>
        <w:t xml:space="preserve"> </w:t>
      </w:r>
    </w:p>
    <w:sectPr w:rsidR="0028395B" w:rsidSect="00000C6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10D" w:rsidRDefault="009C010D" w:rsidP="00E37FB6">
      <w:pPr>
        <w:spacing w:after="0" w:line="240" w:lineRule="auto"/>
      </w:pPr>
      <w:r>
        <w:separator/>
      </w:r>
    </w:p>
  </w:endnote>
  <w:endnote w:type="continuationSeparator" w:id="0">
    <w:p w:rsidR="009C010D" w:rsidRDefault="009C010D" w:rsidP="00E37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1)">
    <w:altName w:val="Arial"/>
    <w:charset w:val="00"/>
    <w:family w:val="swiss"/>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FB6" w:rsidRPr="0003328B" w:rsidRDefault="005613CF" w:rsidP="0003328B">
    <w:pPr>
      <w:pStyle w:val="Footer"/>
    </w:pPr>
    <w:fldSimple w:instr=" FILENAME   \* MERGEFORMAT ">
      <w:r w:rsidR="00C76464">
        <w:rPr>
          <w:noProof/>
        </w:rPr>
        <w:t>AMAZES ANALYSIS PLAN update(1).docx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10D" w:rsidRDefault="009C010D" w:rsidP="00E37FB6">
      <w:pPr>
        <w:spacing w:after="0" w:line="240" w:lineRule="auto"/>
      </w:pPr>
      <w:r>
        <w:separator/>
      </w:r>
    </w:p>
  </w:footnote>
  <w:footnote w:type="continuationSeparator" w:id="0">
    <w:p w:rsidR="009C010D" w:rsidRDefault="009C010D" w:rsidP="00E37F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35D3E"/>
    <w:multiLevelType w:val="hybridMultilevel"/>
    <w:tmpl w:val="DEFA9924"/>
    <w:lvl w:ilvl="0" w:tplc="0C090001">
      <w:start w:val="1"/>
      <w:numFmt w:val="bullet"/>
      <w:lvlText w:val=""/>
      <w:lvlJc w:val="left"/>
      <w:pPr>
        <w:ind w:left="1140" w:hanging="360"/>
      </w:pPr>
      <w:rPr>
        <w:rFonts w:ascii="Symbol" w:hAnsi="Symbol" w:cs="Times New Roman" w:hint="default"/>
      </w:rPr>
    </w:lvl>
    <w:lvl w:ilvl="1" w:tplc="0C090003">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
    <w:nsid w:val="2F534E8E"/>
    <w:multiLevelType w:val="hybridMultilevel"/>
    <w:tmpl w:val="B62687D0"/>
    <w:lvl w:ilvl="0" w:tplc="3C4EF15C">
      <w:numFmt w:val="bullet"/>
      <w:lvlText w:val="–"/>
      <w:lvlJc w:val="left"/>
      <w:pPr>
        <w:tabs>
          <w:tab w:val="num" w:pos="1800"/>
        </w:tabs>
        <w:ind w:left="1800" w:hanging="360"/>
      </w:pPr>
      <w:rPr>
        <w:rFonts w:ascii="Arial" w:eastAsia="Times New Roman" w:hAnsi="Arial" w:cs="Aria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2">
    <w:nsid w:val="373945EF"/>
    <w:multiLevelType w:val="multilevel"/>
    <w:tmpl w:val="F0A44900"/>
    <w:lvl w:ilvl="0">
      <w:start w:val="1"/>
      <w:numFmt w:val="decimal"/>
      <w:pStyle w:val="Heading1"/>
      <w:lvlText w:val="%1"/>
      <w:lvlJc w:val="left"/>
      <w:pPr>
        <w:tabs>
          <w:tab w:val="num" w:pos="1372"/>
        </w:tabs>
        <w:ind w:left="1372" w:hanging="432"/>
      </w:pPr>
      <w:rPr>
        <w:rFonts w:hint="default"/>
        <w:b/>
        <w:color w:val="auto"/>
        <w:sz w:val="22"/>
        <w:szCs w:val="22"/>
      </w:rPr>
    </w:lvl>
    <w:lvl w:ilvl="1">
      <w:start w:val="1"/>
      <w:numFmt w:val="decimal"/>
      <w:pStyle w:val="Heading2"/>
      <w:lvlText w:val="%1.%2"/>
      <w:lvlJc w:val="left"/>
      <w:pPr>
        <w:tabs>
          <w:tab w:val="num" w:pos="860"/>
        </w:tabs>
        <w:ind w:left="860" w:hanging="576"/>
      </w:pPr>
      <w:rPr>
        <w:rFonts w:hint="default"/>
        <w:b/>
      </w:rPr>
    </w:lvl>
    <w:lvl w:ilvl="2">
      <w:start w:val="1"/>
      <w:numFmt w:val="decimal"/>
      <w:pStyle w:val="Heading3"/>
      <w:lvlText w:val="%1.%2.%3"/>
      <w:lvlJc w:val="left"/>
      <w:pPr>
        <w:tabs>
          <w:tab w:val="num" w:pos="1582"/>
        </w:tabs>
        <w:ind w:left="1582" w:hanging="720"/>
      </w:pPr>
      <w:rPr>
        <w:rFonts w:ascii="Arial" w:hAnsi="Arial" w:cs="Arial" w:hint="default"/>
        <w:b/>
        <w:i w:val="0"/>
        <w:sz w:val="22"/>
        <w:szCs w:val="22"/>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3">
    <w:nsid w:val="3E4A7095"/>
    <w:multiLevelType w:val="hybridMultilevel"/>
    <w:tmpl w:val="C92AF7FC"/>
    <w:lvl w:ilvl="0" w:tplc="C6E2685E">
      <w:start w:val="1"/>
      <w:numFmt w:val="decimal"/>
      <w:lvlText w:val="%1."/>
      <w:lvlJc w:val="left"/>
      <w:pPr>
        <w:tabs>
          <w:tab w:val="num" w:pos="1004"/>
        </w:tabs>
        <w:ind w:left="1004" w:hanging="36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7C2F5B63"/>
    <w:multiLevelType w:val="hybridMultilevel"/>
    <w:tmpl w:val="5F9C3872"/>
    <w:lvl w:ilvl="0" w:tplc="0C090001">
      <w:start w:val="1"/>
      <w:numFmt w:val="bullet"/>
      <w:lvlText w:val=""/>
      <w:lvlJc w:val="left"/>
      <w:pPr>
        <w:tabs>
          <w:tab w:val="num" w:pos="780"/>
        </w:tabs>
        <w:ind w:left="780" w:hanging="360"/>
      </w:pPr>
      <w:rPr>
        <w:rFonts w:ascii="Symbol" w:hAnsi="Symbol" w:cs="Times New Roman" w:hint="default"/>
      </w:rPr>
    </w:lvl>
    <w:lvl w:ilvl="1" w:tplc="0C090003">
      <w:start w:val="1"/>
      <w:numFmt w:val="bullet"/>
      <w:lvlText w:val="o"/>
      <w:lvlJc w:val="left"/>
      <w:pPr>
        <w:tabs>
          <w:tab w:val="num" w:pos="1500"/>
        </w:tabs>
        <w:ind w:left="1500" w:hanging="360"/>
      </w:pPr>
      <w:rPr>
        <w:rFonts w:ascii="Courier New" w:hAnsi="Courier New" w:cs="Courier New" w:hint="default"/>
      </w:rPr>
    </w:lvl>
    <w:lvl w:ilvl="2" w:tplc="0C090005">
      <w:start w:val="1"/>
      <w:numFmt w:val="bullet"/>
      <w:lvlText w:val=""/>
      <w:lvlJc w:val="left"/>
      <w:pPr>
        <w:tabs>
          <w:tab w:val="num" w:pos="2220"/>
        </w:tabs>
        <w:ind w:left="2220" w:hanging="360"/>
      </w:pPr>
      <w:rPr>
        <w:rFonts w:ascii="Wingdings" w:hAnsi="Wingdings" w:cs="Times New Roman" w:hint="default"/>
      </w:rPr>
    </w:lvl>
    <w:lvl w:ilvl="3" w:tplc="0C090001">
      <w:start w:val="1"/>
      <w:numFmt w:val="bullet"/>
      <w:lvlText w:val=""/>
      <w:lvlJc w:val="left"/>
      <w:pPr>
        <w:tabs>
          <w:tab w:val="num" w:pos="2940"/>
        </w:tabs>
        <w:ind w:left="2940" w:hanging="360"/>
      </w:pPr>
      <w:rPr>
        <w:rFonts w:ascii="Symbol" w:hAnsi="Symbol" w:cs="Times New Roman" w:hint="default"/>
      </w:rPr>
    </w:lvl>
    <w:lvl w:ilvl="4" w:tplc="0C090003">
      <w:start w:val="1"/>
      <w:numFmt w:val="bullet"/>
      <w:lvlText w:val="o"/>
      <w:lvlJc w:val="left"/>
      <w:pPr>
        <w:tabs>
          <w:tab w:val="num" w:pos="3660"/>
        </w:tabs>
        <w:ind w:left="3660" w:hanging="360"/>
      </w:pPr>
      <w:rPr>
        <w:rFonts w:ascii="Courier New" w:hAnsi="Courier New" w:cs="Courier New" w:hint="default"/>
      </w:rPr>
    </w:lvl>
    <w:lvl w:ilvl="5" w:tplc="0C090005">
      <w:start w:val="1"/>
      <w:numFmt w:val="bullet"/>
      <w:lvlText w:val=""/>
      <w:lvlJc w:val="left"/>
      <w:pPr>
        <w:tabs>
          <w:tab w:val="num" w:pos="4380"/>
        </w:tabs>
        <w:ind w:left="4380" w:hanging="360"/>
      </w:pPr>
      <w:rPr>
        <w:rFonts w:ascii="Wingdings" w:hAnsi="Wingdings" w:cs="Times New Roman" w:hint="default"/>
      </w:rPr>
    </w:lvl>
    <w:lvl w:ilvl="6" w:tplc="0C090001">
      <w:start w:val="1"/>
      <w:numFmt w:val="bullet"/>
      <w:lvlText w:val=""/>
      <w:lvlJc w:val="left"/>
      <w:pPr>
        <w:tabs>
          <w:tab w:val="num" w:pos="5100"/>
        </w:tabs>
        <w:ind w:left="5100" w:hanging="360"/>
      </w:pPr>
      <w:rPr>
        <w:rFonts w:ascii="Symbol" w:hAnsi="Symbol" w:cs="Times New Roman" w:hint="default"/>
      </w:rPr>
    </w:lvl>
    <w:lvl w:ilvl="7" w:tplc="0C090003">
      <w:start w:val="1"/>
      <w:numFmt w:val="bullet"/>
      <w:lvlText w:val="o"/>
      <w:lvlJc w:val="left"/>
      <w:pPr>
        <w:tabs>
          <w:tab w:val="num" w:pos="5820"/>
        </w:tabs>
        <w:ind w:left="5820" w:hanging="360"/>
      </w:pPr>
      <w:rPr>
        <w:rFonts w:ascii="Courier New" w:hAnsi="Courier New" w:cs="Courier New" w:hint="default"/>
      </w:rPr>
    </w:lvl>
    <w:lvl w:ilvl="8" w:tplc="0C090005">
      <w:start w:val="1"/>
      <w:numFmt w:val="bullet"/>
      <w:lvlText w:val=""/>
      <w:lvlJc w:val="left"/>
      <w:pPr>
        <w:tabs>
          <w:tab w:val="num" w:pos="6540"/>
        </w:tabs>
        <w:ind w:left="6540" w:hanging="360"/>
      </w:pPr>
      <w:rPr>
        <w:rFonts w:ascii="Wingdings" w:hAnsi="Wingdings" w:cs="Times New Roman"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CD7"/>
    <w:rsid w:val="00000C68"/>
    <w:rsid w:val="0003017C"/>
    <w:rsid w:val="0003328B"/>
    <w:rsid w:val="00046AA6"/>
    <w:rsid w:val="0007685F"/>
    <w:rsid w:val="000B4C05"/>
    <w:rsid w:val="000B64B6"/>
    <w:rsid w:val="001059D9"/>
    <w:rsid w:val="00146299"/>
    <w:rsid w:val="00192C7B"/>
    <w:rsid w:val="001C0E9A"/>
    <w:rsid w:val="002143BE"/>
    <w:rsid w:val="00273409"/>
    <w:rsid w:val="0028395B"/>
    <w:rsid w:val="002978EF"/>
    <w:rsid w:val="003F4114"/>
    <w:rsid w:val="00412CD7"/>
    <w:rsid w:val="004627AE"/>
    <w:rsid w:val="00470234"/>
    <w:rsid w:val="004945E0"/>
    <w:rsid w:val="004A3D99"/>
    <w:rsid w:val="005613CF"/>
    <w:rsid w:val="0057459E"/>
    <w:rsid w:val="005D734E"/>
    <w:rsid w:val="005E7757"/>
    <w:rsid w:val="005F7233"/>
    <w:rsid w:val="00614A02"/>
    <w:rsid w:val="006A06B4"/>
    <w:rsid w:val="006E7310"/>
    <w:rsid w:val="007416C9"/>
    <w:rsid w:val="007D5259"/>
    <w:rsid w:val="00834467"/>
    <w:rsid w:val="008557D5"/>
    <w:rsid w:val="009B72D1"/>
    <w:rsid w:val="009C010D"/>
    <w:rsid w:val="00A35D66"/>
    <w:rsid w:val="00AB66FC"/>
    <w:rsid w:val="00B509CD"/>
    <w:rsid w:val="00B55009"/>
    <w:rsid w:val="00C5767D"/>
    <w:rsid w:val="00C76464"/>
    <w:rsid w:val="00CB1208"/>
    <w:rsid w:val="00CF63AA"/>
    <w:rsid w:val="00D630E3"/>
    <w:rsid w:val="00DD7381"/>
    <w:rsid w:val="00DF61CC"/>
    <w:rsid w:val="00E30412"/>
    <w:rsid w:val="00E37FB6"/>
    <w:rsid w:val="00E57A63"/>
    <w:rsid w:val="00F010E4"/>
    <w:rsid w:val="00F024EA"/>
    <w:rsid w:val="00F835D2"/>
    <w:rsid w:val="00FA76BE"/>
    <w:rsid w:val="00FD48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12CD7"/>
    <w:pPr>
      <w:keepNext/>
      <w:numPr>
        <w:numId w:val="2"/>
      </w:numPr>
      <w:tabs>
        <w:tab w:val="left" w:pos="851"/>
      </w:tabs>
      <w:spacing w:before="360" w:after="120" w:line="240" w:lineRule="auto"/>
      <w:outlineLvl w:val="0"/>
    </w:pPr>
    <w:rPr>
      <w:rFonts w:ascii="Arial" w:eastAsia="Times New Roman" w:hAnsi="Arial" w:cs="Arial"/>
      <w:b/>
      <w:bCs/>
      <w:caps/>
      <w:sz w:val="24"/>
      <w:szCs w:val="24"/>
    </w:rPr>
  </w:style>
  <w:style w:type="paragraph" w:styleId="Heading2">
    <w:name w:val="heading 2"/>
    <w:basedOn w:val="Normal"/>
    <w:next w:val="Normal"/>
    <w:link w:val="Heading2Char"/>
    <w:qFormat/>
    <w:rsid w:val="00412CD7"/>
    <w:pPr>
      <w:keepNext/>
      <w:numPr>
        <w:ilvl w:val="1"/>
        <w:numId w:val="2"/>
      </w:numPr>
      <w:spacing w:before="240" w:after="60" w:line="240" w:lineRule="auto"/>
      <w:outlineLvl w:val="1"/>
    </w:pPr>
    <w:rPr>
      <w:rFonts w:ascii="Arial" w:eastAsia="Times New Roman" w:hAnsi="Arial" w:cs="Arial"/>
      <w:b/>
      <w:bCs/>
    </w:rPr>
  </w:style>
  <w:style w:type="paragraph" w:styleId="Heading3">
    <w:name w:val="heading 3"/>
    <w:basedOn w:val="Normal"/>
    <w:next w:val="Normal"/>
    <w:link w:val="Heading3Char"/>
    <w:qFormat/>
    <w:rsid w:val="00412CD7"/>
    <w:pPr>
      <w:keepNext/>
      <w:numPr>
        <w:ilvl w:val="2"/>
        <w:numId w:val="2"/>
      </w:numPr>
      <w:tabs>
        <w:tab w:val="left" w:pos="851"/>
      </w:tabs>
      <w:spacing w:before="240" w:after="60" w:line="240" w:lineRule="auto"/>
      <w:outlineLvl w:val="2"/>
    </w:pPr>
    <w:rPr>
      <w:rFonts w:ascii="Arial" w:eastAsia="Times New Roman" w:hAnsi="Arial" w:cs="Arial"/>
      <w:b/>
      <w:bCs/>
    </w:rPr>
  </w:style>
  <w:style w:type="paragraph" w:styleId="Heading4">
    <w:name w:val="heading 4"/>
    <w:basedOn w:val="Normal"/>
    <w:next w:val="Normal"/>
    <w:link w:val="Heading4Char"/>
    <w:qFormat/>
    <w:rsid w:val="00412CD7"/>
    <w:pPr>
      <w:keepNext/>
      <w:numPr>
        <w:ilvl w:val="3"/>
        <w:numId w:val="2"/>
      </w:numPr>
      <w:spacing w:before="240" w:after="0" w:line="240" w:lineRule="auto"/>
      <w:jc w:val="both"/>
      <w:outlineLvl w:val="3"/>
    </w:pPr>
    <w:rPr>
      <w:rFonts w:ascii="Arial" w:eastAsia="Times New Roman" w:hAnsi="Arial" w:cs="Times New Roman"/>
      <w:b/>
      <w:bCs/>
    </w:rPr>
  </w:style>
  <w:style w:type="paragraph" w:styleId="Heading5">
    <w:name w:val="heading 5"/>
    <w:basedOn w:val="Normal"/>
    <w:next w:val="Normal"/>
    <w:link w:val="Heading5Char"/>
    <w:qFormat/>
    <w:rsid w:val="00412CD7"/>
    <w:pPr>
      <w:numPr>
        <w:ilvl w:val="4"/>
        <w:numId w:val="2"/>
      </w:numPr>
      <w:spacing w:before="240" w:after="60" w:line="240" w:lineRule="auto"/>
      <w:outlineLvl w:val="4"/>
    </w:pPr>
    <w:rPr>
      <w:rFonts w:ascii="Arial (W1)" w:eastAsia="Times New Roman" w:hAnsi="Arial (W1)" w:cs="Times New Roman"/>
    </w:rPr>
  </w:style>
  <w:style w:type="paragraph" w:styleId="Heading6">
    <w:name w:val="heading 6"/>
    <w:basedOn w:val="Normal"/>
    <w:next w:val="Normal"/>
    <w:link w:val="Heading6Char"/>
    <w:qFormat/>
    <w:rsid w:val="00412CD7"/>
    <w:pPr>
      <w:keepNext/>
      <w:numPr>
        <w:ilvl w:val="5"/>
        <w:numId w:val="2"/>
      </w:numPr>
      <w:tabs>
        <w:tab w:val="left" w:pos="1418"/>
        <w:tab w:val="left" w:pos="3686"/>
      </w:tabs>
      <w:spacing w:before="240" w:after="0" w:line="240" w:lineRule="auto"/>
      <w:ind w:right="-6"/>
      <w:outlineLvl w:val="5"/>
    </w:pPr>
    <w:rPr>
      <w:rFonts w:ascii="Arial (W1)" w:eastAsia="Times New Roman" w:hAnsi="Arial (W1)" w:cs="Times New Roman"/>
    </w:rPr>
  </w:style>
  <w:style w:type="paragraph" w:styleId="Heading7">
    <w:name w:val="heading 7"/>
    <w:basedOn w:val="Normal"/>
    <w:next w:val="Normal"/>
    <w:link w:val="Heading7Char"/>
    <w:qFormat/>
    <w:rsid w:val="00412CD7"/>
    <w:pPr>
      <w:keepNext/>
      <w:numPr>
        <w:ilvl w:val="6"/>
        <w:numId w:val="2"/>
      </w:numPr>
      <w:tabs>
        <w:tab w:val="left" w:pos="1418"/>
      </w:tabs>
      <w:spacing w:before="240" w:after="0" w:line="240" w:lineRule="auto"/>
      <w:ind w:right="-6"/>
      <w:outlineLvl w:val="6"/>
    </w:pPr>
    <w:rPr>
      <w:rFonts w:ascii="Arial (W1)" w:eastAsia="Times New Roman" w:hAnsi="Arial (W1)" w:cs="Times New Roman"/>
      <w:b/>
      <w:bCs/>
    </w:rPr>
  </w:style>
  <w:style w:type="paragraph" w:styleId="Heading8">
    <w:name w:val="heading 8"/>
    <w:basedOn w:val="Normal"/>
    <w:next w:val="Normal"/>
    <w:link w:val="Heading8Char"/>
    <w:qFormat/>
    <w:rsid w:val="00412CD7"/>
    <w:pPr>
      <w:keepNext/>
      <w:numPr>
        <w:ilvl w:val="7"/>
        <w:numId w:val="2"/>
      </w:numPr>
      <w:spacing w:before="120" w:after="0" w:line="240" w:lineRule="auto"/>
      <w:outlineLvl w:val="7"/>
    </w:pPr>
    <w:rPr>
      <w:rFonts w:ascii="Arial (W1)" w:eastAsia="Times New Roman" w:hAnsi="Arial (W1)" w:cs="Times New Roman"/>
    </w:rPr>
  </w:style>
  <w:style w:type="paragraph" w:styleId="Heading9">
    <w:name w:val="heading 9"/>
    <w:basedOn w:val="Normal"/>
    <w:next w:val="Normal"/>
    <w:link w:val="Heading9Char"/>
    <w:qFormat/>
    <w:rsid w:val="00412CD7"/>
    <w:pPr>
      <w:keepNext/>
      <w:numPr>
        <w:ilvl w:val="8"/>
        <w:numId w:val="2"/>
      </w:numPr>
      <w:spacing w:after="0" w:line="240" w:lineRule="auto"/>
      <w:ind w:right="-8"/>
      <w:outlineLvl w:val="8"/>
    </w:pPr>
    <w:rPr>
      <w:rFonts w:ascii="Arial (W1)" w:eastAsia="Times New Roman" w:hAnsi="Arial (W1)"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2CD7"/>
    <w:rPr>
      <w:rFonts w:ascii="Arial" w:eastAsia="Times New Roman" w:hAnsi="Arial" w:cs="Arial"/>
      <w:b/>
      <w:bCs/>
      <w:caps/>
      <w:sz w:val="24"/>
      <w:szCs w:val="24"/>
    </w:rPr>
  </w:style>
  <w:style w:type="character" w:customStyle="1" w:styleId="Heading2Char">
    <w:name w:val="Heading 2 Char"/>
    <w:basedOn w:val="DefaultParagraphFont"/>
    <w:link w:val="Heading2"/>
    <w:rsid w:val="00412CD7"/>
    <w:rPr>
      <w:rFonts w:ascii="Arial" w:eastAsia="Times New Roman" w:hAnsi="Arial" w:cs="Arial"/>
      <w:b/>
      <w:bCs/>
    </w:rPr>
  </w:style>
  <w:style w:type="character" w:customStyle="1" w:styleId="Heading3Char">
    <w:name w:val="Heading 3 Char"/>
    <w:basedOn w:val="DefaultParagraphFont"/>
    <w:link w:val="Heading3"/>
    <w:rsid w:val="00412CD7"/>
    <w:rPr>
      <w:rFonts w:ascii="Arial" w:eastAsia="Times New Roman" w:hAnsi="Arial" w:cs="Arial"/>
      <w:b/>
      <w:bCs/>
    </w:rPr>
  </w:style>
  <w:style w:type="character" w:customStyle="1" w:styleId="Heading4Char">
    <w:name w:val="Heading 4 Char"/>
    <w:basedOn w:val="DefaultParagraphFont"/>
    <w:link w:val="Heading4"/>
    <w:rsid w:val="00412CD7"/>
    <w:rPr>
      <w:rFonts w:ascii="Arial" w:eastAsia="Times New Roman" w:hAnsi="Arial" w:cs="Times New Roman"/>
      <w:b/>
      <w:bCs/>
    </w:rPr>
  </w:style>
  <w:style w:type="character" w:customStyle="1" w:styleId="Heading5Char">
    <w:name w:val="Heading 5 Char"/>
    <w:basedOn w:val="DefaultParagraphFont"/>
    <w:link w:val="Heading5"/>
    <w:rsid w:val="00412CD7"/>
    <w:rPr>
      <w:rFonts w:ascii="Arial (W1)" w:eastAsia="Times New Roman" w:hAnsi="Arial (W1)" w:cs="Times New Roman"/>
    </w:rPr>
  </w:style>
  <w:style w:type="character" w:customStyle="1" w:styleId="Heading6Char">
    <w:name w:val="Heading 6 Char"/>
    <w:basedOn w:val="DefaultParagraphFont"/>
    <w:link w:val="Heading6"/>
    <w:rsid w:val="00412CD7"/>
    <w:rPr>
      <w:rFonts w:ascii="Arial (W1)" w:eastAsia="Times New Roman" w:hAnsi="Arial (W1)" w:cs="Times New Roman"/>
    </w:rPr>
  </w:style>
  <w:style w:type="character" w:customStyle="1" w:styleId="Heading7Char">
    <w:name w:val="Heading 7 Char"/>
    <w:basedOn w:val="DefaultParagraphFont"/>
    <w:link w:val="Heading7"/>
    <w:rsid w:val="00412CD7"/>
    <w:rPr>
      <w:rFonts w:ascii="Arial (W1)" w:eastAsia="Times New Roman" w:hAnsi="Arial (W1)" w:cs="Times New Roman"/>
      <w:b/>
      <w:bCs/>
    </w:rPr>
  </w:style>
  <w:style w:type="character" w:customStyle="1" w:styleId="Heading8Char">
    <w:name w:val="Heading 8 Char"/>
    <w:basedOn w:val="DefaultParagraphFont"/>
    <w:link w:val="Heading8"/>
    <w:rsid w:val="00412CD7"/>
    <w:rPr>
      <w:rFonts w:ascii="Arial (W1)" w:eastAsia="Times New Roman" w:hAnsi="Arial (W1)" w:cs="Times New Roman"/>
    </w:rPr>
  </w:style>
  <w:style w:type="character" w:customStyle="1" w:styleId="Heading9Char">
    <w:name w:val="Heading 9 Char"/>
    <w:basedOn w:val="DefaultParagraphFont"/>
    <w:link w:val="Heading9"/>
    <w:rsid w:val="00412CD7"/>
    <w:rPr>
      <w:rFonts w:ascii="Arial (W1)" w:eastAsia="Times New Roman" w:hAnsi="Arial (W1)" w:cs="Times New Roman"/>
    </w:rPr>
  </w:style>
  <w:style w:type="paragraph" w:styleId="BodyText">
    <w:name w:val="Body Text"/>
    <w:basedOn w:val="Normal"/>
    <w:link w:val="BodyTextChar"/>
    <w:rsid w:val="00412CD7"/>
    <w:pPr>
      <w:spacing w:after="120" w:line="240" w:lineRule="auto"/>
      <w:jc w:val="both"/>
    </w:pPr>
    <w:rPr>
      <w:rFonts w:ascii="Arial" w:eastAsia="Times New Roman" w:hAnsi="Arial" w:cs="Arial"/>
    </w:rPr>
  </w:style>
  <w:style w:type="character" w:customStyle="1" w:styleId="BodyTextChar">
    <w:name w:val="Body Text Char"/>
    <w:basedOn w:val="DefaultParagraphFont"/>
    <w:link w:val="BodyText"/>
    <w:rsid w:val="00412CD7"/>
    <w:rPr>
      <w:rFonts w:ascii="Arial" w:eastAsia="Times New Roman" w:hAnsi="Arial" w:cs="Arial"/>
    </w:rPr>
  </w:style>
  <w:style w:type="table" w:styleId="TableGrid">
    <w:name w:val="Table Grid"/>
    <w:basedOn w:val="TableNormal"/>
    <w:uiPriority w:val="59"/>
    <w:rsid w:val="00DD7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7F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FB6"/>
  </w:style>
  <w:style w:type="paragraph" w:styleId="Footer">
    <w:name w:val="footer"/>
    <w:basedOn w:val="Normal"/>
    <w:link w:val="FooterChar"/>
    <w:uiPriority w:val="99"/>
    <w:unhideWhenUsed/>
    <w:rsid w:val="00E37F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FB6"/>
  </w:style>
  <w:style w:type="paragraph" w:styleId="BalloonText">
    <w:name w:val="Balloon Text"/>
    <w:basedOn w:val="Normal"/>
    <w:link w:val="BalloonTextChar"/>
    <w:uiPriority w:val="99"/>
    <w:semiHidden/>
    <w:unhideWhenUsed/>
    <w:rsid w:val="00C76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464"/>
    <w:rPr>
      <w:rFonts w:ascii="Tahoma" w:hAnsi="Tahoma" w:cs="Tahoma"/>
      <w:sz w:val="16"/>
      <w:szCs w:val="16"/>
    </w:rPr>
  </w:style>
  <w:style w:type="character" w:styleId="CommentReference">
    <w:name w:val="annotation reference"/>
    <w:basedOn w:val="DefaultParagraphFont"/>
    <w:uiPriority w:val="99"/>
    <w:semiHidden/>
    <w:unhideWhenUsed/>
    <w:rsid w:val="00CB1208"/>
    <w:rPr>
      <w:sz w:val="16"/>
      <w:szCs w:val="16"/>
    </w:rPr>
  </w:style>
  <w:style w:type="paragraph" w:styleId="CommentText">
    <w:name w:val="annotation text"/>
    <w:basedOn w:val="Normal"/>
    <w:link w:val="CommentTextChar"/>
    <w:uiPriority w:val="99"/>
    <w:semiHidden/>
    <w:unhideWhenUsed/>
    <w:rsid w:val="00CB1208"/>
    <w:pPr>
      <w:spacing w:line="240" w:lineRule="auto"/>
    </w:pPr>
    <w:rPr>
      <w:sz w:val="20"/>
      <w:szCs w:val="20"/>
    </w:rPr>
  </w:style>
  <w:style w:type="character" w:customStyle="1" w:styleId="CommentTextChar">
    <w:name w:val="Comment Text Char"/>
    <w:basedOn w:val="DefaultParagraphFont"/>
    <w:link w:val="CommentText"/>
    <w:uiPriority w:val="99"/>
    <w:semiHidden/>
    <w:rsid w:val="00CB1208"/>
    <w:rPr>
      <w:sz w:val="20"/>
      <w:szCs w:val="20"/>
    </w:rPr>
  </w:style>
  <w:style w:type="paragraph" w:styleId="CommentSubject">
    <w:name w:val="annotation subject"/>
    <w:basedOn w:val="CommentText"/>
    <w:next w:val="CommentText"/>
    <w:link w:val="CommentSubjectChar"/>
    <w:uiPriority w:val="99"/>
    <w:semiHidden/>
    <w:unhideWhenUsed/>
    <w:rsid w:val="00CB1208"/>
    <w:rPr>
      <w:b/>
      <w:bCs/>
    </w:rPr>
  </w:style>
  <w:style w:type="character" w:customStyle="1" w:styleId="CommentSubjectChar">
    <w:name w:val="Comment Subject Char"/>
    <w:basedOn w:val="CommentTextChar"/>
    <w:link w:val="CommentSubject"/>
    <w:uiPriority w:val="99"/>
    <w:semiHidden/>
    <w:rsid w:val="00CB120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12CD7"/>
    <w:pPr>
      <w:keepNext/>
      <w:numPr>
        <w:numId w:val="2"/>
      </w:numPr>
      <w:tabs>
        <w:tab w:val="left" w:pos="851"/>
      </w:tabs>
      <w:spacing w:before="360" w:after="120" w:line="240" w:lineRule="auto"/>
      <w:outlineLvl w:val="0"/>
    </w:pPr>
    <w:rPr>
      <w:rFonts w:ascii="Arial" w:eastAsia="Times New Roman" w:hAnsi="Arial" w:cs="Arial"/>
      <w:b/>
      <w:bCs/>
      <w:caps/>
      <w:sz w:val="24"/>
      <w:szCs w:val="24"/>
    </w:rPr>
  </w:style>
  <w:style w:type="paragraph" w:styleId="Heading2">
    <w:name w:val="heading 2"/>
    <w:basedOn w:val="Normal"/>
    <w:next w:val="Normal"/>
    <w:link w:val="Heading2Char"/>
    <w:qFormat/>
    <w:rsid w:val="00412CD7"/>
    <w:pPr>
      <w:keepNext/>
      <w:numPr>
        <w:ilvl w:val="1"/>
        <w:numId w:val="2"/>
      </w:numPr>
      <w:spacing w:before="240" w:after="60" w:line="240" w:lineRule="auto"/>
      <w:outlineLvl w:val="1"/>
    </w:pPr>
    <w:rPr>
      <w:rFonts w:ascii="Arial" w:eastAsia="Times New Roman" w:hAnsi="Arial" w:cs="Arial"/>
      <w:b/>
      <w:bCs/>
    </w:rPr>
  </w:style>
  <w:style w:type="paragraph" w:styleId="Heading3">
    <w:name w:val="heading 3"/>
    <w:basedOn w:val="Normal"/>
    <w:next w:val="Normal"/>
    <w:link w:val="Heading3Char"/>
    <w:qFormat/>
    <w:rsid w:val="00412CD7"/>
    <w:pPr>
      <w:keepNext/>
      <w:numPr>
        <w:ilvl w:val="2"/>
        <w:numId w:val="2"/>
      </w:numPr>
      <w:tabs>
        <w:tab w:val="left" w:pos="851"/>
      </w:tabs>
      <w:spacing w:before="240" w:after="60" w:line="240" w:lineRule="auto"/>
      <w:outlineLvl w:val="2"/>
    </w:pPr>
    <w:rPr>
      <w:rFonts w:ascii="Arial" w:eastAsia="Times New Roman" w:hAnsi="Arial" w:cs="Arial"/>
      <w:b/>
      <w:bCs/>
    </w:rPr>
  </w:style>
  <w:style w:type="paragraph" w:styleId="Heading4">
    <w:name w:val="heading 4"/>
    <w:basedOn w:val="Normal"/>
    <w:next w:val="Normal"/>
    <w:link w:val="Heading4Char"/>
    <w:qFormat/>
    <w:rsid w:val="00412CD7"/>
    <w:pPr>
      <w:keepNext/>
      <w:numPr>
        <w:ilvl w:val="3"/>
        <w:numId w:val="2"/>
      </w:numPr>
      <w:spacing w:before="240" w:after="0" w:line="240" w:lineRule="auto"/>
      <w:jc w:val="both"/>
      <w:outlineLvl w:val="3"/>
    </w:pPr>
    <w:rPr>
      <w:rFonts w:ascii="Arial" w:eastAsia="Times New Roman" w:hAnsi="Arial" w:cs="Times New Roman"/>
      <w:b/>
      <w:bCs/>
    </w:rPr>
  </w:style>
  <w:style w:type="paragraph" w:styleId="Heading5">
    <w:name w:val="heading 5"/>
    <w:basedOn w:val="Normal"/>
    <w:next w:val="Normal"/>
    <w:link w:val="Heading5Char"/>
    <w:qFormat/>
    <w:rsid w:val="00412CD7"/>
    <w:pPr>
      <w:numPr>
        <w:ilvl w:val="4"/>
        <w:numId w:val="2"/>
      </w:numPr>
      <w:spacing w:before="240" w:after="60" w:line="240" w:lineRule="auto"/>
      <w:outlineLvl w:val="4"/>
    </w:pPr>
    <w:rPr>
      <w:rFonts w:ascii="Arial (W1)" w:eastAsia="Times New Roman" w:hAnsi="Arial (W1)" w:cs="Times New Roman"/>
    </w:rPr>
  </w:style>
  <w:style w:type="paragraph" w:styleId="Heading6">
    <w:name w:val="heading 6"/>
    <w:basedOn w:val="Normal"/>
    <w:next w:val="Normal"/>
    <w:link w:val="Heading6Char"/>
    <w:qFormat/>
    <w:rsid w:val="00412CD7"/>
    <w:pPr>
      <w:keepNext/>
      <w:numPr>
        <w:ilvl w:val="5"/>
        <w:numId w:val="2"/>
      </w:numPr>
      <w:tabs>
        <w:tab w:val="left" w:pos="1418"/>
        <w:tab w:val="left" w:pos="3686"/>
      </w:tabs>
      <w:spacing w:before="240" w:after="0" w:line="240" w:lineRule="auto"/>
      <w:ind w:right="-6"/>
      <w:outlineLvl w:val="5"/>
    </w:pPr>
    <w:rPr>
      <w:rFonts w:ascii="Arial (W1)" w:eastAsia="Times New Roman" w:hAnsi="Arial (W1)" w:cs="Times New Roman"/>
    </w:rPr>
  </w:style>
  <w:style w:type="paragraph" w:styleId="Heading7">
    <w:name w:val="heading 7"/>
    <w:basedOn w:val="Normal"/>
    <w:next w:val="Normal"/>
    <w:link w:val="Heading7Char"/>
    <w:qFormat/>
    <w:rsid w:val="00412CD7"/>
    <w:pPr>
      <w:keepNext/>
      <w:numPr>
        <w:ilvl w:val="6"/>
        <w:numId w:val="2"/>
      </w:numPr>
      <w:tabs>
        <w:tab w:val="left" w:pos="1418"/>
      </w:tabs>
      <w:spacing w:before="240" w:after="0" w:line="240" w:lineRule="auto"/>
      <w:ind w:right="-6"/>
      <w:outlineLvl w:val="6"/>
    </w:pPr>
    <w:rPr>
      <w:rFonts w:ascii="Arial (W1)" w:eastAsia="Times New Roman" w:hAnsi="Arial (W1)" w:cs="Times New Roman"/>
      <w:b/>
      <w:bCs/>
    </w:rPr>
  </w:style>
  <w:style w:type="paragraph" w:styleId="Heading8">
    <w:name w:val="heading 8"/>
    <w:basedOn w:val="Normal"/>
    <w:next w:val="Normal"/>
    <w:link w:val="Heading8Char"/>
    <w:qFormat/>
    <w:rsid w:val="00412CD7"/>
    <w:pPr>
      <w:keepNext/>
      <w:numPr>
        <w:ilvl w:val="7"/>
        <w:numId w:val="2"/>
      </w:numPr>
      <w:spacing w:before="120" w:after="0" w:line="240" w:lineRule="auto"/>
      <w:outlineLvl w:val="7"/>
    </w:pPr>
    <w:rPr>
      <w:rFonts w:ascii="Arial (W1)" w:eastAsia="Times New Roman" w:hAnsi="Arial (W1)" w:cs="Times New Roman"/>
    </w:rPr>
  </w:style>
  <w:style w:type="paragraph" w:styleId="Heading9">
    <w:name w:val="heading 9"/>
    <w:basedOn w:val="Normal"/>
    <w:next w:val="Normal"/>
    <w:link w:val="Heading9Char"/>
    <w:qFormat/>
    <w:rsid w:val="00412CD7"/>
    <w:pPr>
      <w:keepNext/>
      <w:numPr>
        <w:ilvl w:val="8"/>
        <w:numId w:val="2"/>
      </w:numPr>
      <w:spacing w:after="0" w:line="240" w:lineRule="auto"/>
      <w:ind w:right="-8"/>
      <w:outlineLvl w:val="8"/>
    </w:pPr>
    <w:rPr>
      <w:rFonts w:ascii="Arial (W1)" w:eastAsia="Times New Roman" w:hAnsi="Arial (W1)"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2CD7"/>
    <w:rPr>
      <w:rFonts w:ascii="Arial" w:eastAsia="Times New Roman" w:hAnsi="Arial" w:cs="Arial"/>
      <w:b/>
      <w:bCs/>
      <w:caps/>
      <w:sz w:val="24"/>
      <w:szCs w:val="24"/>
    </w:rPr>
  </w:style>
  <w:style w:type="character" w:customStyle="1" w:styleId="Heading2Char">
    <w:name w:val="Heading 2 Char"/>
    <w:basedOn w:val="DefaultParagraphFont"/>
    <w:link w:val="Heading2"/>
    <w:rsid w:val="00412CD7"/>
    <w:rPr>
      <w:rFonts w:ascii="Arial" w:eastAsia="Times New Roman" w:hAnsi="Arial" w:cs="Arial"/>
      <w:b/>
      <w:bCs/>
    </w:rPr>
  </w:style>
  <w:style w:type="character" w:customStyle="1" w:styleId="Heading3Char">
    <w:name w:val="Heading 3 Char"/>
    <w:basedOn w:val="DefaultParagraphFont"/>
    <w:link w:val="Heading3"/>
    <w:rsid w:val="00412CD7"/>
    <w:rPr>
      <w:rFonts w:ascii="Arial" w:eastAsia="Times New Roman" w:hAnsi="Arial" w:cs="Arial"/>
      <w:b/>
      <w:bCs/>
    </w:rPr>
  </w:style>
  <w:style w:type="character" w:customStyle="1" w:styleId="Heading4Char">
    <w:name w:val="Heading 4 Char"/>
    <w:basedOn w:val="DefaultParagraphFont"/>
    <w:link w:val="Heading4"/>
    <w:rsid w:val="00412CD7"/>
    <w:rPr>
      <w:rFonts w:ascii="Arial" w:eastAsia="Times New Roman" w:hAnsi="Arial" w:cs="Times New Roman"/>
      <w:b/>
      <w:bCs/>
    </w:rPr>
  </w:style>
  <w:style w:type="character" w:customStyle="1" w:styleId="Heading5Char">
    <w:name w:val="Heading 5 Char"/>
    <w:basedOn w:val="DefaultParagraphFont"/>
    <w:link w:val="Heading5"/>
    <w:rsid w:val="00412CD7"/>
    <w:rPr>
      <w:rFonts w:ascii="Arial (W1)" w:eastAsia="Times New Roman" w:hAnsi="Arial (W1)" w:cs="Times New Roman"/>
    </w:rPr>
  </w:style>
  <w:style w:type="character" w:customStyle="1" w:styleId="Heading6Char">
    <w:name w:val="Heading 6 Char"/>
    <w:basedOn w:val="DefaultParagraphFont"/>
    <w:link w:val="Heading6"/>
    <w:rsid w:val="00412CD7"/>
    <w:rPr>
      <w:rFonts w:ascii="Arial (W1)" w:eastAsia="Times New Roman" w:hAnsi="Arial (W1)" w:cs="Times New Roman"/>
    </w:rPr>
  </w:style>
  <w:style w:type="character" w:customStyle="1" w:styleId="Heading7Char">
    <w:name w:val="Heading 7 Char"/>
    <w:basedOn w:val="DefaultParagraphFont"/>
    <w:link w:val="Heading7"/>
    <w:rsid w:val="00412CD7"/>
    <w:rPr>
      <w:rFonts w:ascii="Arial (W1)" w:eastAsia="Times New Roman" w:hAnsi="Arial (W1)" w:cs="Times New Roman"/>
      <w:b/>
      <w:bCs/>
    </w:rPr>
  </w:style>
  <w:style w:type="character" w:customStyle="1" w:styleId="Heading8Char">
    <w:name w:val="Heading 8 Char"/>
    <w:basedOn w:val="DefaultParagraphFont"/>
    <w:link w:val="Heading8"/>
    <w:rsid w:val="00412CD7"/>
    <w:rPr>
      <w:rFonts w:ascii="Arial (W1)" w:eastAsia="Times New Roman" w:hAnsi="Arial (W1)" w:cs="Times New Roman"/>
    </w:rPr>
  </w:style>
  <w:style w:type="character" w:customStyle="1" w:styleId="Heading9Char">
    <w:name w:val="Heading 9 Char"/>
    <w:basedOn w:val="DefaultParagraphFont"/>
    <w:link w:val="Heading9"/>
    <w:rsid w:val="00412CD7"/>
    <w:rPr>
      <w:rFonts w:ascii="Arial (W1)" w:eastAsia="Times New Roman" w:hAnsi="Arial (W1)" w:cs="Times New Roman"/>
    </w:rPr>
  </w:style>
  <w:style w:type="paragraph" w:styleId="BodyText">
    <w:name w:val="Body Text"/>
    <w:basedOn w:val="Normal"/>
    <w:link w:val="BodyTextChar"/>
    <w:rsid w:val="00412CD7"/>
    <w:pPr>
      <w:spacing w:after="120" w:line="240" w:lineRule="auto"/>
      <w:jc w:val="both"/>
    </w:pPr>
    <w:rPr>
      <w:rFonts w:ascii="Arial" w:eastAsia="Times New Roman" w:hAnsi="Arial" w:cs="Arial"/>
    </w:rPr>
  </w:style>
  <w:style w:type="character" w:customStyle="1" w:styleId="BodyTextChar">
    <w:name w:val="Body Text Char"/>
    <w:basedOn w:val="DefaultParagraphFont"/>
    <w:link w:val="BodyText"/>
    <w:rsid w:val="00412CD7"/>
    <w:rPr>
      <w:rFonts w:ascii="Arial" w:eastAsia="Times New Roman" w:hAnsi="Arial" w:cs="Arial"/>
    </w:rPr>
  </w:style>
  <w:style w:type="table" w:styleId="TableGrid">
    <w:name w:val="Table Grid"/>
    <w:basedOn w:val="TableNormal"/>
    <w:uiPriority w:val="59"/>
    <w:rsid w:val="00DD7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7F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FB6"/>
  </w:style>
  <w:style w:type="paragraph" w:styleId="Footer">
    <w:name w:val="footer"/>
    <w:basedOn w:val="Normal"/>
    <w:link w:val="FooterChar"/>
    <w:uiPriority w:val="99"/>
    <w:unhideWhenUsed/>
    <w:rsid w:val="00E37F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FB6"/>
  </w:style>
  <w:style w:type="paragraph" w:styleId="BalloonText">
    <w:name w:val="Balloon Text"/>
    <w:basedOn w:val="Normal"/>
    <w:link w:val="BalloonTextChar"/>
    <w:uiPriority w:val="99"/>
    <w:semiHidden/>
    <w:unhideWhenUsed/>
    <w:rsid w:val="00C76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464"/>
    <w:rPr>
      <w:rFonts w:ascii="Tahoma" w:hAnsi="Tahoma" w:cs="Tahoma"/>
      <w:sz w:val="16"/>
      <w:szCs w:val="16"/>
    </w:rPr>
  </w:style>
  <w:style w:type="character" w:styleId="CommentReference">
    <w:name w:val="annotation reference"/>
    <w:basedOn w:val="DefaultParagraphFont"/>
    <w:uiPriority w:val="99"/>
    <w:semiHidden/>
    <w:unhideWhenUsed/>
    <w:rsid w:val="00CB1208"/>
    <w:rPr>
      <w:sz w:val="16"/>
      <w:szCs w:val="16"/>
    </w:rPr>
  </w:style>
  <w:style w:type="paragraph" w:styleId="CommentText">
    <w:name w:val="annotation text"/>
    <w:basedOn w:val="Normal"/>
    <w:link w:val="CommentTextChar"/>
    <w:uiPriority w:val="99"/>
    <w:semiHidden/>
    <w:unhideWhenUsed/>
    <w:rsid w:val="00CB1208"/>
    <w:pPr>
      <w:spacing w:line="240" w:lineRule="auto"/>
    </w:pPr>
    <w:rPr>
      <w:sz w:val="20"/>
      <w:szCs w:val="20"/>
    </w:rPr>
  </w:style>
  <w:style w:type="character" w:customStyle="1" w:styleId="CommentTextChar">
    <w:name w:val="Comment Text Char"/>
    <w:basedOn w:val="DefaultParagraphFont"/>
    <w:link w:val="CommentText"/>
    <w:uiPriority w:val="99"/>
    <w:semiHidden/>
    <w:rsid w:val="00CB1208"/>
    <w:rPr>
      <w:sz w:val="20"/>
      <w:szCs w:val="20"/>
    </w:rPr>
  </w:style>
  <w:style w:type="paragraph" w:styleId="CommentSubject">
    <w:name w:val="annotation subject"/>
    <w:basedOn w:val="CommentText"/>
    <w:next w:val="CommentText"/>
    <w:link w:val="CommentSubjectChar"/>
    <w:uiPriority w:val="99"/>
    <w:semiHidden/>
    <w:unhideWhenUsed/>
    <w:rsid w:val="00CB1208"/>
    <w:rPr>
      <w:b/>
      <w:bCs/>
    </w:rPr>
  </w:style>
  <w:style w:type="character" w:customStyle="1" w:styleId="CommentSubjectChar">
    <w:name w:val="Comment Subject Char"/>
    <w:basedOn w:val="CommentTextChar"/>
    <w:link w:val="CommentSubject"/>
    <w:uiPriority w:val="99"/>
    <w:semiHidden/>
    <w:rsid w:val="00CB12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83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1768D-2BB5-446F-AC2A-581D21651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HNEAHS</Company>
  <LinksUpToDate>false</LinksUpToDate>
  <CharactersWithSpaces>7603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2015-11-30T05:08:00Z</cp:lastPrinted>
  <dcterms:created xsi:type="dcterms:W3CDTF">2016-03-09T00:10:00Z</dcterms:created>
  <dcterms:modified xsi:type="dcterms:W3CDTF">2016-03-09T00:18:00Z</dcterms:modified>
</cp:coreProperties>
</file>